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341CC" w14:textId="5721304E" w:rsidR="00ED7A08" w:rsidRDefault="00ED7A08" w:rsidP="00650245">
      <w:pPr>
        <w:spacing w:after="0" w:line="240" w:lineRule="auto"/>
        <w:ind w:firstLine="284"/>
        <w:jc w:val="center"/>
        <w:rPr>
          <w:rFonts w:ascii="Garamond" w:hAnsi="Garamond"/>
          <w:sz w:val="24"/>
          <w:szCs w:val="24"/>
          <w:lang w:val="sq-AL"/>
        </w:rPr>
      </w:pPr>
      <w:bookmarkStart w:id="0" w:name="_Hlk75456740"/>
      <w:r>
        <w:rPr>
          <w:rFonts w:ascii="Garamond" w:hAnsi="Garamond"/>
          <w:sz w:val="24"/>
          <w:szCs w:val="24"/>
          <w:lang w:val="sq-AL"/>
        </w:rPr>
        <w:t>GJYKATA EVROPIANE E TË DREJTAVE TË NJERIUT</w:t>
      </w:r>
    </w:p>
    <w:p w14:paraId="0BF3CB7C" w14:textId="77777777" w:rsidR="00CF5C54" w:rsidRDefault="00CF5C54" w:rsidP="00650245">
      <w:pPr>
        <w:spacing w:after="0" w:line="240" w:lineRule="auto"/>
        <w:ind w:firstLine="284"/>
        <w:jc w:val="center"/>
        <w:rPr>
          <w:rFonts w:ascii="Garamond" w:hAnsi="Garamond"/>
          <w:sz w:val="24"/>
          <w:szCs w:val="24"/>
          <w:lang w:val="sq-AL"/>
        </w:rPr>
      </w:pPr>
    </w:p>
    <w:p w14:paraId="481DAB88" w14:textId="419F00F0" w:rsidR="00650245" w:rsidRPr="00C65281" w:rsidRDefault="00650245" w:rsidP="00650245">
      <w:pPr>
        <w:spacing w:after="0" w:line="240" w:lineRule="auto"/>
        <w:ind w:firstLine="284"/>
        <w:jc w:val="center"/>
        <w:rPr>
          <w:rFonts w:ascii="Garamond" w:hAnsi="Garamond"/>
          <w:sz w:val="24"/>
          <w:szCs w:val="24"/>
          <w:lang w:val="sq-AL"/>
        </w:rPr>
      </w:pPr>
      <w:r w:rsidRPr="00C65281">
        <w:rPr>
          <w:rFonts w:ascii="Garamond" w:hAnsi="Garamond"/>
          <w:sz w:val="24"/>
          <w:szCs w:val="24"/>
          <w:lang w:val="sq-AL"/>
        </w:rPr>
        <w:t>SEKSIONI I TRETË</w:t>
      </w:r>
    </w:p>
    <w:p w14:paraId="354A4BDC" w14:textId="77777777" w:rsidR="00650245" w:rsidRPr="00C65281" w:rsidRDefault="00650245" w:rsidP="00650245">
      <w:pPr>
        <w:spacing w:after="0" w:line="240" w:lineRule="auto"/>
        <w:ind w:firstLine="284"/>
        <w:jc w:val="center"/>
        <w:rPr>
          <w:rFonts w:ascii="Garamond" w:hAnsi="Garamond"/>
          <w:sz w:val="24"/>
          <w:szCs w:val="24"/>
          <w:lang w:val="sq-AL"/>
        </w:rPr>
      </w:pPr>
    </w:p>
    <w:p w14:paraId="7E4D0D63" w14:textId="77777777" w:rsidR="00650245" w:rsidRPr="00C65281" w:rsidRDefault="00650245" w:rsidP="00650245">
      <w:pPr>
        <w:spacing w:after="0" w:line="240" w:lineRule="auto"/>
        <w:ind w:firstLine="284"/>
        <w:jc w:val="center"/>
        <w:rPr>
          <w:rFonts w:ascii="Garamond" w:hAnsi="Garamond"/>
          <w:b/>
          <w:sz w:val="24"/>
          <w:szCs w:val="24"/>
          <w:lang w:val="sq-AL"/>
        </w:rPr>
      </w:pPr>
      <w:r w:rsidRPr="00C65281">
        <w:rPr>
          <w:rFonts w:ascii="Garamond" w:hAnsi="Garamond"/>
          <w:b/>
          <w:sz w:val="24"/>
          <w:szCs w:val="24"/>
          <w:lang w:val="sq-AL"/>
        </w:rPr>
        <w:t>VENDIM</w:t>
      </w:r>
    </w:p>
    <w:p w14:paraId="6D078054" w14:textId="5D02B7D0" w:rsidR="00650245" w:rsidRPr="00FF7199" w:rsidRDefault="00650245" w:rsidP="00650245">
      <w:pPr>
        <w:spacing w:after="0" w:line="240" w:lineRule="auto"/>
        <w:ind w:firstLine="284"/>
        <w:jc w:val="center"/>
        <w:rPr>
          <w:rFonts w:ascii="Garamond" w:hAnsi="Garamond"/>
          <w:b/>
          <w:sz w:val="24"/>
          <w:szCs w:val="24"/>
          <w:lang w:val="sq-AL"/>
        </w:rPr>
      </w:pPr>
      <w:r w:rsidRPr="00FF7199">
        <w:rPr>
          <w:rFonts w:ascii="Garamond" w:hAnsi="Garamond"/>
          <w:b/>
          <w:sz w:val="24"/>
          <w:szCs w:val="24"/>
          <w:lang w:val="sq-AL"/>
        </w:rPr>
        <w:t>Kërkesa nr. 11167/09</w:t>
      </w:r>
    </w:p>
    <w:p w14:paraId="4C527CCE" w14:textId="77777777" w:rsidR="00FF7199" w:rsidRPr="00C65281" w:rsidRDefault="00FF7199" w:rsidP="00650245">
      <w:pPr>
        <w:spacing w:after="0" w:line="240" w:lineRule="auto"/>
        <w:ind w:firstLine="284"/>
        <w:jc w:val="center"/>
        <w:rPr>
          <w:rFonts w:ascii="Garamond" w:hAnsi="Garamond"/>
          <w:sz w:val="24"/>
          <w:szCs w:val="24"/>
          <w:lang w:val="sq-AL"/>
        </w:rPr>
      </w:pPr>
    </w:p>
    <w:p w14:paraId="53D30FF9" w14:textId="4E0C8DFE" w:rsidR="00650245" w:rsidRPr="0060022F" w:rsidRDefault="00FF7199" w:rsidP="00650245">
      <w:pPr>
        <w:spacing w:after="0" w:line="240" w:lineRule="auto"/>
        <w:ind w:firstLine="284"/>
        <w:jc w:val="center"/>
        <w:rPr>
          <w:rFonts w:ascii="Garamond" w:hAnsi="Garamond"/>
          <w:b/>
          <w:sz w:val="24"/>
          <w:szCs w:val="24"/>
          <w:lang w:val="sq-AL"/>
        </w:rPr>
      </w:pPr>
      <w:r w:rsidRPr="0060022F">
        <w:rPr>
          <w:rFonts w:ascii="Garamond" w:hAnsi="Garamond"/>
          <w:b/>
          <w:sz w:val="24"/>
          <w:szCs w:val="24"/>
          <w:lang w:val="sq-AL"/>
        </w:rPr>
        <w:t>Genc Bushati</w:t>
      </w:r>
    </w:p>
    <w:p w14:paraId="6318AE3A" w14:textId="5DD43AE4" w:rsidR="00650245" w:rsidRPr="0060022F" w:rsidRDefault="00FF7199" w:rsidP="00650245">
      <w:pPr>
        <w:spacing w:after="0" w:line="240" w:lineRule="auto"/>
        <w:ind w:firstLine="284"/>
        <w:jc w:val="center"/>
        <w:rPr>
          <w:rFonts w:ascii="Garamond" w:hAnsi="Garamond"/>
          <w:b/>
          <w:sz w:val="24"/>
          <w:szCs w:val="24"/>
          <w:lang w:val="sq-AL"/>
        </w:rPr>
      </w:pPr>
      <w:r w:rsidRPr="0060022F">
        <w:rPr>
          <w:rFonts w:ascii="Garamond" w:hAnsi="Garamond"/>
          <w:b/>
          <w:sz w:val="24"/>
          <w:szCs w:val="24"/>
          <w:lang w:val="sq-AL"/>
        </w:rPr>
        <w:t xml:space="preserve">kundër Shqipërisë </w:t>
      </w:r>
    </w:p>
    <w:p w14:paraId="44E0E10E" w14:textId="77777777" w:rsidR="00650245" w:rsidRPr="00C65281" w:rsidRDefault="00650245" w:rsidP="00650245">
      <w:pPr>
        <w:spacing w:after="0" w:line="240" w:lineRule="auto"/>
        <w:ind w:firstLine="284"/>
        <w:jc w:val="center"/>
        <w:rPr>
          <w:rFonts w:ascii="Garamond" w:hAnsi="Garamond"/>
          <w:sz w:val="24"/>
          <w:szCs w:val="24"/>
          <w:lang w:val="sq-AL"/>
        </w:rPr>
      </w:pPr>
      <w:r w:rsidRPr="00C65281">
        <w:rPr>
          <w:rFonts w:ascii="Garamond" w:hAnsi="Garamond"/>
          <w:sz w:val="24"/>
          <w:szCs w:val="24"/>
          <w:lang w:val="sq-AL"/>
        </w:rPr>
        <w:t>(shih tabelën bashkëlidhur)</w:t>
      </w:r>
    </w:p>
    <w:p w14:paraId="0226A4D7" w14:textId="77777777" w:rsidR="00650245" w:rsidRPr="00C65281" w:rsidRDefault="00650245" w:rsidP="00650245">
      <w:pPr>
        <w:spacing w:after="0" w:line="240" w:lineRule="auto"/>
        <w:ind w:firstLine="284"/>
        <w:jc w:val="both"/>
        <w:rPr>
          <w:rFonts w:ascii="Garamond" w:hAnsi="Garamond"/>
          <w:sz w:val="24"/>
          <w:szCs w:val="24"/>
          <w:lang w:val="sq-AL"/>
        </w:rPr>
      </w:pPr>
    </w:p>
    <w:p w14:paraId="1F8E7BE9" w14:textId="3137FE80" w:rsidR="00650245" w:rsidRPr="00C65281" w:rsidRDefault="00650245" w:rsidP="00650245">
      <w:pPr>
        <w:pStyle w:val="JuPara"/>
        <w:rPr>
          <w:rFonts w:ascii="Garamond" w:hAnsi="Garamond"/>
        </w:rPr>
      </w:pPr>
      <w:r w:rsidRPr="00C65281">
        <w:rPr>
          <w:rFonts w:ascii="Garamond" w:hAnsi="Garamond"/>
        </w:rPr>
        <w:t xml:space="preserve">Gjykata </w:t>
      </w:r>
      <w:r w:rsidR="00C65281" w:rsidRPr="00C65281">
        <w:rPr>
          <w:rFonts w:ascii="Garamond" w:hAnsi="Garamond"/>
        </w:rPr>
        <w:t>Evropiane</w:t>
      </w:r>
      <w:r w:rsidRPr="00C65281">
        <w:rPr>
          <w:rFonts w:ascii="Garamond" w:hAnsi="Garamond"/>
        </w:rPr>
        <w:t xml:space="preserve"> e të Drejtave të Njeriut (Seksioni i Tretë) e mbledhur më 6 </w:t>
      </w:r>
      <w:r w:rsidR="00C65281">
        <w:rPr>
          <w:rFonts w:ascii="Garamond" w:hAnsi="Garamond"/>
        </w:rPr>
        <w:t>p</w:t>
      </w:r>
      <w:r w:rsidRPr="00C65281">
        <w:rPr>
          <w:rFonts w:ascii="Garamond" w:hAnsi="Garamond"/>
        </w:rPr>
        <w:t xml:space="preserve">rill 2023, si Komision, i përbërë nga: </w:t>
      </w:r>
    </w:p>
    <w:p w14:paraId="38346F24" w14:textId="74535786" w:rsidR="00650245" w:rsidRPr="00C65281" w:rsidRDefault="00650245" w:rsidP="00650245">
      <w:pPr>
        <w:pStyle w:val="JuJudges"/>
        <w:ind w:firstLine="284"/>
        <w:rPr>
          <w:rFonts w:ascii="Garamond" w:hAnsi="Garamond"/>
          <w:i/>
        </w:rPr>
      </w:pPr>
      <w:r w:rsidRPr="00C65281">
        <w:rPr>
          <w:rFonts w:ascii="Garamond" w:hAnsi="Garamond"/>
        </w:rPr>
        <w:t xml:space="preserve"> Ioannis Ktistakis,</w:t>
      </w:r>
      <w:r w:rsidRPr="00C65281">
        <w:rPr>
          <w:rFonts w:ascii="Garamond" w:hAnsi="Garamond"/>
          <w:i/>
        </w:rPr>
        <w:t xml:space="preserve"> </w:t>
      </w:r>
      <w:r w:rsidR="00C65281">
        <w:rPr>
          <w:rFonts w:ascii="Garamond" w:hAnsi="Garamond"/>
          <w:i/>
        </w:rPr>
        <w:t>k</w:t>
      </w:r>
      <w:r w:rsidRPr="00C65281">
        <w:rPr>
          <w:rFonts w:ascii="Garamond" w:hAnsi="Garamond"/>
          <w:i/>
        </w:rPr>
        <w:t>ryetar,</w:t>
      </w:r>
    </w:p>
    <w:p w14:paraId="4E988C39" w14:textId="09E89127" w:rsidR="00650245" w:rsidRPr="00C65281" w:rsidRDefault="00650245" w:rsidP="00650245">
      <w:pPr>
        <w:pStyle w:val="JuJudges"/>
        <w:ind w:firstLine="284"/>
        <w:rPr>
          <w:rFonts w:ascii="Garamond" w:hAnsi="Garamond"/>
          <w:i/>
        </w:rPr>
      </w:pPr>
      <w:r w:rsidRPr="00C65281">
        <w:rPr>
          <w:rFonts w:ascii="Garamond" w:hAnsi="Garamond"/>
          <w:i/>
        </w:rPr>
        <w:t xml:space="preserve"> </w:t>
      </w:r>
      <w:r w:rsidRPr="00C65281">
        <w:rPr>
          <w:rFonts w:ascii="Garamond" w:hAnsi="Garamond"/>
        </w:rPr>
        <w:t>Darian Pavli,</w:t>
      </w:r>
      <w:r w:rsidR="00CF4DBA">
        <w:rPr>
          <w:rFonts w:ascii="Garamond" w:hAnsi="Garamond"/>
        </w:rPr>
        <w:t xml:space="preserve"> </w:t>
      </w:r>
    </w:p>
    <w:p w14:paraId="4D483FDF" w14:textId="2393C2E0" w:rsidR="00650245" w:rsidRPr="00C65281" w:rsidRDefault="00650245" w:rsidP="00650245">
      <w:pPr>
        <w:pStyle w:val="JuJudges"/>
        <w:ind w:firstLine="284"/>
        <w:rPr>
          <w:rFonts w:ascii="Garamond" w:hAnsi="Garamond"/>
        </w:rPr>
      </w:pPr>
      <w:r w:rsidRPr="00C65281">
        <w:rPr>
          <w:rFonts w:ascii="Garamond" w:hAnsi="Garamond"/>
        </w:rPr>
        <w:t xml:space="preserve"> Oddn</w:t>
      </w:r>
      <w:r w:rsidRPr="00C65281">
        <w:rPr>
          <w:rFonts w:ascii="Garamond" w:hAnsi="Garamond" w:cstheme="minorHAnsi"/>
        </w:rPr>
        <w:t>ý Mjöll Arnardóttir</w:t>
      </w:r>
      <w:r w:rsidRPr="00C65281">
        <w:rPr>
          <w:rFonts w:ascii="Garamond" w:hAnsi="Garamond"/>
        </w:rPr>
        <w:t xml:space="preserve">, </w:t>
      </w:r>
      <w:r w:rsidRPr="00C65281">
        <w:rPr>
          <w:rFonts w:ascii="Garamond" w:hAnsi="Garamond"/>
          <w:i/>
        </w:rPr>
        <w:t>gjyqtarë,</w:t>
      </w:r>
      <w:r w:rsidRPr="00C65281">
        <w:rPr>
          <w:rFonts w:ascii="Garamond" w:hAnsi="Garamond"/>
        </w:rPr>
        <w:br/>
        <w:t xml:space="preserve">dhe Viktoriya Maradudina, </w:t>
      </w:r>
      <w:r w:rsidR="00C65281">
        <w:rPr>
          <w:rFonts w:ascii="Garamond" w:hAnsi="Garamond"/>
          <w:i/>
        </w:rPr>
        <w:t>z</w:t>
      </w:r>
      <w:r w:rsidRPr="00C65281">
        <w:rPr>
          <w:rFonts w:ascii="Garamond" w:hAnsi="Garamond"/>
          <w:i/>
        </w:rPr>
        <w:t>ëvendësregjistr</w:t>
      </w:r>
      <w:r w:rsidR="00C65281">
        <w:rPr>
          <w:rFonts w:ascii="Garamond" w:hAnsi="Garamond"/>
          <w:i/>
        </w:rPr>
        <w:t>are e përkohshme e Seksionit,</w:t>
      </w:r>
    </w:p>
    <w:p w14:paraId="67C72DB1" w14:textId="6EB68544" w:rsidR="00650245" w:rsidRPr="00C65281" w:rsidRDefault="0037035C" w:rsidP="00650245">
      <w:pPr>
        <w:pStyle w:val="JuPara"/>
        <w:rPr>
          <w:rFonts w:ascii="Garamond" w:hAnsi="Garamond"/>
        </w:rPr>
      </w:pPr>
      <w:r>
        <w:rPr>
          <w:rFonts w:ascii="Garamond" w:hAnsi="Garamond"/>
        </w:rPr>
        <w:t>P</w:t>
      </w:r>
      <w:r w:rsidRPr="00C65281">
        <w:rPr>
          <w:rFonts w:ascii="Garamond" w:hAnsi="Garamond"/>
        </w:rPr>
        <w:t xml:space="preserve">asi </w:t>
      </w:r>
      <w:r w:rsidR="00650245" w:rsidRPr="00C65281">
        <w:rPr>
          <w:rFonts w:ascii="Garamond" w:hAnsi="Garamond"/>
        </w:rPr>
        <w:t xml:space="preserve">morën në konsideratë kërkesën e mësipërme paraqitur më 21 </w:t>
      </w:r>
      <w:r w:rsidR="00C65281">
        <w:rPr>
          <w:rFonts w:ascii="Garamond" w:hAnsi="Garamond"/>
        </w:rPr>
        <w:t>n</w:t>
      </w:r>
      <w:r w:rsidR="00650245" w:rsidRPr="00C65281">
        <w:rPr>
          <w:rFonts w:ascii="Garamond" w:hAnsi="Garamond"/>
        </w:rPr>
        <w:t>ëntor 2008,</w:t>
      </w:r>
    </w:p>
    <w:p w14:paraId="5F30DDC7" w14:textId="266EA8DB" w:rsidR="00650245" w:rsidRPr="00C65281" w:rsidRDefault="00C65281" w:rsidP="00650245">
      <w:pPr>
        <w:pStyle w:val="JuPara"/>
        <w:rPr>
          <w:rFonts w:ascii="Garamond" w:hAnsi="Garamond"/>
        </w:rPr>
      </w:pPr>
      <w:r>
        <w:rPr>
          <w:rFonts w:ascii="Garamond" w:hAnsi="Garamond"/>
        </w:rPr>
        <w:t>d</w:t>
      </w:r>
      <w:r w:rsidR="00650245" w:rsidRPr="00C65281">
        <w:rPr>
          <w:rFonts w:ascii="Garamond" w:hAnsi="Garamond"/>
        </w:rPr>
        <w:t>uke marrë në konsideratë deklaratën e paraqitur nga Qeveria përgjegjëse me anë të së cilës i kërkohej Gjykatës të çregjistronte kërkesën nga lista e kërkesave,</w:t>
      </w:r>
    </w:p>
    <w:p w14:paraId="70B90C82" w14:textId="3585A3A5" w:rsidR="00650245" w:rsidRPr="00C65281" w:rsidRDefault="0037035C" w:rsidP="00650245">
      <w:pPr>
        <w:pStyle w:val="JuPara"/>
        <w:rPr>
          <w:rFonts w:ascii="Garamond" w:hAnsi="Garamond"/>
        </w:rPr>
      </w:pPr>
      <w:r>
        <w:rPr>
          <w:rFonts w:ascii="Garamond" w:hAnsi="Garamond"/>
        </w:rPr>
        <w:t>P</w:t>
      </w:r>
      <w:r w:rsidRPr="00C65281">
        <w:rPr>
          <w:rFonts w:ascii="Garamond" w:hAnsi="Garamond"/>
        </w:rPr>
        <w:t xml:space="preserve">asi </w:t>
      </w:r>
      <w:r>
        <w:rPr>
          <w:rFonts w:ascii="Garamond" w:hAnsi="Garamond"/>
        </w:rPr>
        <w:t>diskutoi, vendos si më poshtë:</w:t>
      </w:r>
    </w:p>
    <w:p w14:paraId="0621C2AD" w14:textId="77777777" w:rsidR="00650245" w:rsidRPr="00C65281" w:rsidRDefault="00650245" w:rsidP="00650245">
      <w:pPr>
        <w:pStyle w:val="JuPara"/>
        <w:rPr>
          <w:rFonts w:ascii="Garamond" w:hAnsi="Garamond"/>
        </w:rPr>
      </w:pPr>
      <w:r w:rsidRPr="00C65281">
        <w:rPr>
          <w:rFonts w:ascii="Garamond" w:hAnsi="Garamond"/>
        </w:rPr>
        <w:t xml:space="preserve">FAKTET DHE PROCEDURA </w:t>
      </w:r>
    </w:p>
    <w:p w14:paraId="58362C9B" w14:textId="77CED2E9" w:rsidR="00650245" w:rsidRPr="00C65281" w:rsidRDefault="00650245" w:rsidP="00650245">
      <w:pPr>
        <w:pStyle w:val="JuPara"/>
        <w:rPr>
          <w:rFonts w:ascii="Garamond" w:hAnsi="Garamond"/>
        </w:rPr>
      </w:pPr>
      <w:r w:rsidRPr="00C65281">
        <w:rPr>
          <w:rFonts w:ascii="Garamond" w:hAnsi="Garamond"/>
        </w:rPr>
        <w:t xml:space="preserve">Kërkuesi, </w:t>
      </w:r>
      <w:r w:rsidR="00C65281">
        <w:rPr>
          <w:rFonts w:ascii="Garamond" w:hAnsi="Garamond"/>
        </w:rPr>
        <w:t>z</w:t>
      </w:r>
      <w:r w:rsidRPr="00C65281">
        <w:rPr>
          <w:rFonts w:ascii="Garamond" w:hAnsi="Garamond"/>
        </w:rPr>
        <w:t xml:space="preserve">. Genc Bushati, është një shtetas shqiptar, lindur në vitin 1944, i cili jeton në Shkodër, Shqipëri. </w:t>
      </w:r>
    </w:p>
    <w:p w14:paraId="315A1445" w14:textId="524A83E9" w:rsidR="00650245" w:rsidRPr="00C65281" w:rsidRDefault="00650245" w:rsidP="00650245">
      <w:pPr>
        <w:pStyle w:val="JuPara"/>
        <w:rPr>
          <w:rFonts w:ascii="Garamond" w:hAnsi="Garamond"/>
        </w:rPr>
      </w:pPr>
      <w:r w:rsidRPr="00C65281">
        <w:rPr>
          <w:rFonts w:ascii="Garamond" w:hAnsi="Garamond"/>
        </w:rPr>
        <w:t xml:space="preserve">Kërkuesi bëri një ankesë në mbështetje të </w:t>
      </w:r>
      <w:r w:rsidR="00C65281">
        <w:rPr>
          <w:rFonts w:ascii="Garamond" w:hAnsi="Garamond"/>
        </w:rPr>
        <w:t>n</w:t>
      </w:r>
      <w:r w:rsidRPr="00C65281">
        <w:rPr>
          <w:rFonts w:ascii="Garamond" w:hAnsi="Garamond"/>
        </w:rPr>
        <w:t>enit 1</w:t>
      </w:r>
      <w:r w:rsidR="00C65281">
        <w:rPr>
          <w:rFonts w:ascii="Garamond" w:hAnsi="Garamond"/>
        </w:rPr>
        <w:t>,</w:t>
      </w:r>
      <w:r w:rsidRPr="00C65281">
        <w:rPr>
          <w:rFonts w:ascii="Garamond" w:hAnsi="Garamond"/>
        </w:rPr>
        <w:t xml:space="preserve"> të </w:t>
      </w:r>
      <w:r w:rsidR="00C65281" w:rsidRPr="00C65281">
        <w:rPr>
          <w:rFonts w:ascii="Garamond" w:hAnsi="Garamond"/>
        </w:rPr>
        <w:t>protokollit n</w:t>
      </w:r>
      <w:r w:rsidRPr="00C65281">
        <w:rPr>
          <w:rFonts w:ascii="Garamond" w:hAnsi="Garamond"/>
        </w:rPr>
        <w:t>r. 1, pasi autoritetet nuk kishin paguar në kohë një kompensim akorduar në shkallën përfundimtare nga një autoritet administrativ në vitin 1993, në lidhje me pasurin</w:t>
      </w:r>
      <w:r w:rsidR="00C65281">
        <w:rPr>
          <w:rFonts w:ascii="Garamond" w:hAnsi="Garamond"/>
        </w:rPr>
        <w:t>ë e luajtshme.</w:t>
      </w:r>
    </w:p>
    <w:p w14:paraId="67C86C5D" w14:textId="77777777" w:rsidR="00650245" w:rsidRPr="00C65281" w:rsidRDefault="00650245" w:rsidP="00650245">
      <w:pPr>
        <w:pStyle w:val="JuPara"/>
        <w:rPr>
          <w:rFonts w:ascii="Garamond" w:hAnsi="Garamond"/>
        </w:rPr>
      </w:pPr>
      <w:r w:rsidRPr="00C65281">
        <w:rPr>
          <w:rFonts w:ascii="Garamond" w:hAnsi="Garamond"/>
        </w:rPr>
        <w:t>LIGJI</w:t>
      </w:r>
    </w:p>
    <w:p w14:paraId="0EF208B3" w14:textId="725C3E73" w:rsidR="00650245" w:rsidRPr="00C65281" w:rsidRDefault="00650245" w:rsidP="00650245">
      <w:pPr>
        <w:pStyle w:val="JuPara"/>
        <w:rPr>
          <w:rFonts w:ascii="Garamond" w:hAnsi="Garamond"/>
        </w:rPr>
      </w:pPr>
      <w:r w:rsidRPr="00C65281">
        <w:rPr>
          <w:rFonts w:ascii="Garamond" w:hAnsi="Garamond"/>
        </w:rPr>
        <w:t>Pas negociatave miqësore të pasuksesshme, Qeveria propozoi një deklaratë të njëanshme</w:t>
      </w:r>
      <w:r w:rsidR="00C65281">
        <w:rPr>
          <w:rFonts w:ascii="Garamond" w:hAnsi="Garamond"/>
        </w:rPr>
        <w:t>,</w:t>
      </w:r>
      <w:r w:rsidRPr="00C65281">
        <w:rPr>
          <w:rFonts w:ascii="Garamond" w:hAnsi="Garamond"/>
        </w:rPr>
        <w:t xml:space="preserve"> me qëllim zgjidhjen e problematikës paraqitur në kërkesë. Gjithashtu, Qeveria i kërkoi Gjykatës të çregjistronte kërkesën nga lista e çështjeve sipas </w:t>
      </w:r>
      <w:r w:rsidR="00C65281">
        <w:rPr>
          <w:rFonts w:ascii="Garamond" w:hAnsi="Garamond"/>
        </w:rPr>
        <w:t>nenit 37 të Konventës.</w:t>
      </w:r>
    </w:p>
    <w:p w14:paraId="7644777E" w14:textId="55121321" w:rsidR="00650245" w:rsidRPr="00C65281" w:rsidRDefault="00650245" w:rsidP="00650245">
      <w:pPr>
        <w:pStyle w:val="JuPara"/>
        <w:rPr>
          <w:rFonts w:ascii="Garamond" w:hAnsi="Garamond"/>
        </w:rPr>
      </w:pPr>
      <w:r w:rsidRPr="00C65281">
        <w:rPr>
          <w:rFonts w:ascii="Garamond" w:hAnsi="Garamond"/>
        </w:rPr>
        <w:t>Qeveria e pranoi shkeljen dhe ofroi t’i paguante kërkuesit shumën e detajuar në tabelën bashkëlidhur për të mbuluar dëmin pasuror dhe jo pasuror</w:t>
      </w:r>
      <w:r w:rsidR="00C65281">
        <w:rPr>
          <w:rFonts w:ascii="Garamond" w:hAnsi="Garamond"/>
        </w:rPr>
        <w:t>,</w:t>
      </w:r>
      <w:r w:rsidRPr="00C65281">
        <w:rPr>
          <w:rFonts w:ascii="Garamond" w:hAnsi="Garamond"/>
        </w:rPr>
        <w:t xml:space="preserve"> si edhe kostot dhe shpenzimet, të cilat do të konvertoheshin në monedhën e Shtetit përgjegjës në normën e zbatueshme datën e pagesës, pa u ndikuar nga asnjë taksë. Shuma do të shlyhej brenda tre muajve nga data e shpalljes së njoftimit të marrë nga Gjykata. Nëse shuma nuk do të paguhej brenda periudhës tremujore, Qeveria merrte përsipër të paguante interesin e thjeshtë ndaj saj, që prej përfundimit të periudhës deri në shlyerjen e plotë, në normën e barabartë me normën margjinale të huadhënies së Bankës Qendrore Evropiane gjatë periudhës së mospagesës plus tre për qind pikë. Pagesa do të ishte zgj</w:t>
      </w:r>
      <w:r w:rsidR="00C65281">
        <w:rPr>
          <w:rFonts w:ascii="Garamond" w:hAnsi="Garamond"/>
        </w:rPr>
        <w:t>idhja përfundimtare e çështjes.</w:t>
      </w:r>
    </w:p>
    <w:p w14:paraId="3BA90D04" w14:textId="67B4E163" w:rsidR="00650245" w:rsidRPr="00C65281" w:rsidRDefault="00650245" w:rsidP="00650245">
      <w:pPr>
        <w:pStyle w:val="JuPara"/>
        <w:rPr>
          <w:rFonts w:ascii="Garamond" w:hAnsi="Garamond"/>
        </w:rPr>
      </w:pPr>
      <w:r w:rsidRPr="00C65281">
        <w:rPr>
          <w:rFonts w:ascii="Garamond" w:hAnsi="Garamond"/>
        </w:rPr>
        <w:t>Kërkuesi u përgjigj se deklarata e Qeverisë mbulonte vetëm shumën nominale të kompensimit dhe jo humbjen e përfitimeve. Ai paraqiti pretendime për shpërblim të drejtë dhe nuk</w:t>
      </w:r>
      <w:r w:rsidR="00C65281">
        <w:rPr>
          <w:rFonts w:ascii="Garamond" w:hAnsi="Garamond"/>
        </w:rPr>
        <w:t xml:space="preserve"> i pranoi kushtet e deklaratës.</w:t>
      </w:r>
    </w:p>
    <w:p w14:paraId="5F653030" w14:textId="6C0A2ACF" w:rsidR="00650245" w:rsidRPr="00C65281" w:rsidRDefault="00650245" w:rsidP="00650245">
      <w:pPr>
        <w:pStyle w:val="JuPara"/>
        <w:rPr>
          <w:rFonts w:ascii="Garamond" w:hAnsi="Garamond"/>
        </w:rPr>
      </w:pPr>
      <w:r w:rsidRPr="00C65281">
        <w:rPr>
          <w:rFonts w:ascii="Garamond" w:hAnsi="Garamond"/>
        </w:rPr>
        <w:t xml:space="preserve">Neni 37 </w:t>
      </w:r>
      <w:r w:rsidRPr="00C65281">
        <w:rPr>
          <w:rFonts w:ascii="Garamond" w:hAnsi="Garamond" w:cstheme="minorHAnsi"/>
        </w:rPr>
        <w:t>§</w:t>
      </w:r>
      <w:r w:rsidRPr="00C65281">
        <w:rPr>
          <w:rFonts w:ascii="Garamond" w:hAnsi="Garamond"/>
        </w:rPr>
        <w:t xml:space="preserve"> 1 (c) parashikon se Gjykata mund të çregjistrojë n</w:t>
      </w:r>
      <w:r w:rsidR="00C65281">
        <w:rPr>
          <w:rFonts w:ascii="Garamond" w:hAnsi="Garamond"/>
        </w:rPr>
        <w:t>jë kërkesë nga lista e saj kur:</w:t>
      </w:r>
    </w:p>
    <w:p w14:paraId="47F68431" w14:textId="77777777" w:rsidR="00650245" w:rsidRPr="00C65281" w:rsidRDefault="00650245" w:rsidP="00650245">
      <w:pPr>
        <w:pStyle w:val="JuPara"/>
        <w:rPr>
          <w:rFonts w:ascii="Garamond" w:hAnsi="Garamond"/>
        </w:rPr>
      </w:pPr>
      <w:r w:rsidRPr="00C65281">
        <w:rPr>
          <w:rFonts w:ascii="Garamond" w:hAnsi="Garamond"/>
        </w:rPr>
        <w:t>“... për çdo arsye tjetër që, sipas Gjykatës, nuk justifikon vazhdimin e shqyrtimit të kërkesës”.</w:t>
      </w:r>
    </w:p>
    <w:p w14:paraId="573A3513" w14:textId="2A7C72B5" w:rsidR="00650245" w:rsidRPr="00C65281" w:rsidRDefault="00650245" w:rsidP="00650245">
      <w:pPr>
        <w:pStyle w:val="JuPara"/>
        <w:rPr>
          <w:rFonts w:ascii="Garamond" w:hAnsi="Garamond"/>
        </w:rPr>
      </w:pPr>
      <w:r w:rsidRPr="00C65281">
        <w:rPr>
          <w:rFonts w:ascii="Garamond" w:hAnsi="Garamond"/>
        </w:rPr>
        <w:t xml:space="preserve">Në rrethana të caktuara, ajo mund të çregjistrojë një kërkesë në mbështetje të </w:t>
      </w:r>
      <w:r w:rsidR="00C65281">
        <w:rPr>
          <w:rFonts w:ascii="Garamond" w:hAnsi="Garamond"/>
        </w:rPr>
        <w:t>n</w:t>
      </w:r>
      <w:r w:rsidRPr="00C65281">
        <w:rPr>
          <w:rFonts w:ascii="Garamond" w:hAnsi="Garamond"/>
        </w:rPr>
        <w:t xml:space="preserve">enit 37 </w:t>
      </w:r>
      <w:r w:rsidRPr="00C65281">
        <w:rPr>
          <w:rFonts w:ascii="Garamond" w:hAnsi="Garamond" w:cstheme="minorHAnsi"/>
        </w:rPr>
        <w:t>§</w:t>
      </w:r>
      <w:r w:rsidRPr="00C65281">
        <w:rPr>
          <w:rFonts w:ascii="Garamond" w:hAnsi="Garamond"/>
        </w:rPr>
        <w:t xml:space="preserve"> 1 (c) sipas një deklarate të njëanshme nga Qeveria përgjegjëse edhe nëse kërkuesi dëshiron që të vijohet me shqyrtimin e çështjes. </w:t>
      </w:r>
    </w:p>
    <w:p w14:paraId="6F12FB9B" w14:textId="70FB5C13" w:rsidR="00650245" w:rsidRPr="00C65281" w:rsidRDefault="00650245" w:rsidP="00650245">
      <w:pPr>
        <w:pStyle w:val="JuPara"/>
        <w:rPr>
          <w:rFonts w:ascii="Garamond" w:hAnsi="Garamond" w:cstheme="minorHAnsi"/>
        </w:rPr>
      </w:pPr>
      <w:r w:rsidRPr="00C65281">
        <w:rPr>
          <w:rFonts w:ascii="Garamond" w:hAnsi="Garamond"/>
        </w:rPr>
        <w:lastRenderedPageBreak/>
        <w:t xml:space="preserve">Për këtë arsye, Gjykata ka shqyrtuar deklaratën sipas parimeve të përcaktuara nga praktika e saj gjyqësore (shih </w:t>
      </w:r>
      <w:r w:rsidRPr="00C65281">
        <w:rPr>
          <w:rFonts w:ascii="Garamond" w:hAnsi="Garamond"/>
          <w:i/>
          <w:iCs/>
        </w:rPr>
        <w:t xml:space="preserve">Tahsin Acar kundër Turqisë </w:t>
      </w:r>
      <w:r w:rsidRPr="00C65281">
        <w:rPr>
          <w:rFonts w:ascii="Garamond" w:hAnsi="Garamond"/>
        </w:rPr>
        <w:t xml:space="preserve">(kundërshtime paraprake) [DHM], nr. 26307/95, </w:t>
      </w:r>
      <w:r w:rsidRPr="00C65281">
        <w:rPr>
          <w:rFonts w:ascii="Garamond" w:hAnsi="Garamond" w:cstheme="minorHAnsi"/>
        </w:rPr>
        <w:t>§§ 75</w:t>
      </w:r>
      <w:r w:rsidR="00C65281">
        <w:rPr>
          <w:rFonts w:ascii="Garamond" w:hAnsi="Garamond" w:cstheme="minorHAnsi"/>
        </w:rPr>
        <w:t>–</w:t>
      </w:r>
      <w:r w:rsidRPr="00C65281">
        <w:rPr>
          <w:rFonts w:ascii="Garamond" w:hAnsi="Garamond" w:cstheme="minorHAnsi"/>
        </w:rPr>
        <w:t xml:space="preserve">77, GJEDNJ 2003-VI; </w:t>
      </w:r>
      <w:r w:rsidRPr="00C65281">
        <w:rPr>
          <w:rFonts w:ascii="Garamond" w:hAnsi="Garamond" w:cstheme="minorHAnsi"/>
          <w:i/>
          <w:iCs/>
        </w:rPr>
        <w:t xml:space="preserve">WAZA Sp. Z o.o. kundër Polonisë </w:t>
      </w:r>
      <w:r w:rsidRPr="00C65281">
        <w:rPr>
          <w:rFonts w:ascii="Garamond" w:hAnsi="Garamond" w:cstheme="minorHAnsi"/>
        </w:rPr>
        <w:t xml:space="preserve">(vendim), nr. 11602/02, 26 </w:t>
      </w:r>
      <w:r w:rsidR="00C65281">
        <w:rPr>
          <w:rFonts w:ascii="Garamond" w:hAnsi="Garamond" w:cstheme="minorHAnsi"/>
        </w:rPr>
        <w:t>q</w:t>
      </w:r>
      <w:r w:rsidRPr="00C65281">
        <w:rPr>
          <w:rFonts w:ascii="Garamond" w:hAnsi="Garamond" w:cstheme="minorHAnsi"/>
        </w:rPr>
        <w:t xml:space="preserve">ershor 2007; dhe </w:t>
      </w:r>
      <w:r w:rsidRPr="00C65281">
        <w:rPr>
          <w:rFonts w:ascii="Garamond" w:hAnsi="Garamond" w:cstheme="minorHAnsi"/>
          <w:i/>
          <w:iCs/>
        </w:rPr>
        <w:t>Sulwińska kundër Polonisë</w:t>
      </w:r>
      <w:r w:rsidRPr="00C65281">
        <w:rPr>
          <w:rFonts w:ascii="Garamond" w:hAnsi="Garamond" w:cstheme="minorHAnsi"/>
        </w:rPr>
        <w:t xml:space="preserve"> (vendim), nr. 28953/03, 18 </w:t>
      </w:r>
      <w:r w:rsidR="00C65281">
        <w:rPr>
          <w:rFonts w:ascii="Garamond" w:hAnsi="Garamond" w:cstheme="minorHAnsi"/>
        </w:rPr>
        <w:t>s</w:t>
      </w:r>
      <w:r w:rsidRPr="00C65281">
        <w:rPr>
          <w:rFonts w:ascii="Garamond" w:hAnsi="Garamond" w:cstheme="minorHAnsi"/>
        </w:rPr>
        <w:t>htator 2007).</w:t>
      </w:r>
    </w:p>
    <w:p w14:paraId="464B641E" w14:textId="40817670" w:rsidR="00650245" w:rsidRPr="00C65281" w:rsidRDefault="00650245" w:rsidP="00650245">
      <w:pPr>
        <w:pStyle w:val="JuPara"/>
        <w:rPr>
          <w:rFonts w:ascii="Garamond" w:hAnsi="Garamond" w:cstheme="minorHAnsi"/>
        </w:rPr>
      </w:pPr>
      <w:r w:rsidRPr="00C65281">
        <w:rPr>
          <w:rFonts w:ascii="Garamond" w:hAnsi="Garamond" w:cstheme="minorHAnsi"/>
        </w:rPr>
        <w:t>Duke marrë në konsideratë natyrën e parashtrimeve në deklaratën e Qeverisë, si edhe shumën e kompensimit të propozuar – e cila është në përputhje me shumat e akorduara në çështje të ngjashme – Gjykata është e mendimit se nuk është e justifikueshme të vijohet me shqyrtimin e kërkesës (</w:t>
      </w:r>
      <w:r w:rsidR="00C65281">
        <w:rPr>
          <w:rFonts w:ascii="Garamond" w:hAnsi="Garamond" w:cstheme="minorHAnsi"/>
        </w:rPr>
        <w:t>n</w:t>
      </w:r>
      <w:r w:rsidRPr="00C65281">
        <w:rPr>
          <w:rFonts w:ascii="Garamond" w:hAnsi="Garamond" w:cstheme="minorHAnsi"/>
        </w:rPr>
        <w:t xml:space="preserve">eni 37 § 1 (c)). </w:t>
      </w:r>
    </w:p>
    <w:p w14:paraId="554CA1A6" w14:textId="7E3840CC" w:rsidR="00650245" w:rsidRPr="00C65281" w:rsidRDefault="00650245" w:rsidP="00650245">
      <w:pPr>
        <w:pStyle w:val="JuPara"/>
        <w:rPr>
          <w:rFonts w:ascii="Garamond" w:hAnsi="Garamond" w:cstheme="minorHAnsi"/>
        </w:rPr>
      </w:pPr>
      <w:r w:rsidRPr="00C65281">
        <w:rPr>
          <w:rFonts w:ascii="Garamond" w:hAnsi="Garamond" w:cstheme="minorHAnsi"/>
        </w:rPr>
        <w:t>Gjithashtu, për sa më sipër, dhe veçanërisht duke pasur në konsideratë praktikën gjyqësore të qartë dhe të gjerë në lidhje me këtë tematikë, Gjykata vendos se sipas parashikimit të Konventës dhe Protokolleve të saj për të drejtat e njeriut, asaj nuk i kërkohet që të vazhdojë me shqyrtimin e kërkesës (</w:t>
      </w:r>
      <w:r w:rsidR="00C65281">
        <w:rPr>
          <w:rFonts w:ascii="Garamond" w:hAnsi="Garamond" w:cstheme="minorHAnsi"/>
        </w:rPr>
        <w:t>n</w:t>
      </w:r>
      <w:r w:rsidRPr="00C65281">
        <w:rPr>
          <w:rFonts w:ascii="Garamond" w:hAnsi="Garamond" w:cstheme="minorHAnsi"/>
        </w:rPr>
        <w:t xml:space="preserve">eni 37 § 1, </w:t>
      </w:r>
      <w:r w:rsidRPr="00C65281">
        <w:rPr>
          <w:rFonts w:ascii="Garamond" w:hAnsi="Garamond" w:cstheme="minorHAnsi"/>
          <w:i/>
          <w:iCs/>
        </w:rPr>
        <w:t>in fine</w:t>
      </w:r>
      <w:r w:rsidR="00C65281">
        <w:rPr>
          <w:rFonts w:ascii="Garamond" w:hAnsi="Garamond" w:cstheme="minorHAnsi"/>
        </w:rPr>
        <w:t>).</w:t>
      </w:r>
    </w:p>
    <w:p w14:paraId="77E23378" w14:textId="48999880" w:rsidR="00650245" w:rsidRPr="00C65281" w:rsidRDefault="00650245" w:rsidP="00650245">
      <w:pPr>
        <w:pStyle w:val="JuPara"/>
        <w:rPr>
          <w:rFonts w:ascii="Garamond" w:hAnsi="Garamond" w:cstheme="minorHAnsi"/>
        </w:rPr>
      </w:pPr>
      <w:r w:rsidRPr="00C65281">
        <w:rPr>
          <w:rFonts w:ascii="Garamond" w:hAnsi="Garamond" w:cstheme="minorHAnsi"/>
        </w:rPr>
        <w:t xml:space="preserve">Së fundmi, nëse Qeveria nuk përmbush kushtet në deklaratën e saj të njëanshme, kërkesa do të rikthehet në listën e çështjeve të Gjykatës në përputhje me </w:t>
      </w:r>
      <w:r w:rsidR="00C65281">
        <w:rPr>
          <w:rFonts w:ascii="Garamond" w:hAnsi="Garamond" w:cstheme="minorHAnsi"/>
        </w:rPr>
        <w:t>n</w:t>
      </w:r>
      <w:r w:rsidRPr="00C65281">
        <w:rPr>
          <w:rFonts w:ascii="Garamond" w:hAnsi="Garamond" w:cstheme="minorHAnsi"/>
        </w:rPr>
        <w:t xml:space="preserve">enin 37 § 2 të Konventës (shih </w:t>
      </w:r>
      <w:r w:rsidRPr="00C65281">
        <w:rPr>
          <w:rFonts w:ascii="Garamond" w:hAnsi="Garamond" w:cstheme="minorHAnsi"/>
          <w:i/>
          <w:iCs/>
        </w:rPr>
        <w:t xml:space="preserve">Josipović kundër Serbisë </w:t>
      </w:r>
      <w:r w:rsidRPr="00C65281">
        <w:rPr>
          <w:rFonts w:ascii="Garamond" w:hAnsi="Garamond" w:cstheme="minorHAnsi"/>
        </w:rPr>
        <w:t xml:space="preserve">(vendim), nr. 18369/07, 4 </w:t>
      </w:r>
      <w:r w:rsidR="00C65281">
        <w:rPr>
          <w:rFonts w:ascii="Garamond" w:hAnsi="Garamond" w:cstheme="minorHAnsi"/>
        </w:rPr>
        <w:t>m</w:t>
      </w:r>
      <w:r w:rsidRPr="00C65281">
        <w:rPr>
          <w:rFonts w:ascii="Garamond" w:hAnsi="Garamond" w:cstheme="minorHAnsi"/>
        </w:rPr>
        <w:t xml:space="preserve">ars 2008). </w:t>
      </w:r>
    </w:p>
    <w:p w14:paraId="3BDD7E73" w14:textId="652BAC74" w:rsidR="00650245" w:rsidRPr="00C65281" w:rsidRDefault="00650245" w:rsidP="00650245">
      <w:pPr>
        <w:pStyle w:val="JuPara"/>
        <w:rPr>
          <w:rFonts w:ascii="Garamond" w:hAnsi="Garamond" w:cstheme="minorHAnsi"/>
        </w:rPr>
      </w:pPr>
      <w:r w:rsidRPr="00C65281">
        <w:rPr>
          <w:rFonts w:ascii="Garamond" w:hAnsi="Garamond" w:cstheme="minorHAnsi"/>
        </w:rPr>
        <w:t>Për sa më sipër, është me vend që çështja të çregjistrohet nga lista.</w:t>
      </w:r>
      <w:bookmarkEnd w:id="0"/>
    </w:p>
    <w:p w14:paraId="3B48E55C" w14:textId="0C556D28" w:rsidR="00650245" w:rsidRPr="00C65281" w:rsidRDefault="00CF4DBA" w:rsidP="00CF4DBA">
      <w:pPr>
        <w:pStyle w:val="JuPara"/>
        <w:rPr>
          <w:rFonts w:ascii="Garamond" w:hAnsi="Garamond" w:cstheme="minorHAnsi"/>
        </w:rPr>
      </w:pPr>
      <w:r w:rsidRPr="00C65281">
        <w:rPr>
          <w:rFonts w:ascii="Garamond" w:hAnsi="Garamond" w:cstheme="minorHAnsi"/>
        </w:rPr>
        <w:t>Për këto ars</w:t>
      </w:r>
      <w:r>
        <w:rPr>
          <w:rFonts w:ascii="Garamond" w:hAnsi="Garamond" w:cstheme="minorHAnsi"/>
        </w:rPr>
        <w:t xml:space="preserve">ye, Gjykata, </w:t>
      </w:r>
      <w:r w:rsidR="00C65281">
        <w:rPr>
          <w:rFonts w:ascii="Garamond" w:hAnsi="Garamond" w:cstheme="minorHAnsi"/>
        </w:rPr>
        <w:t>në mënyrë anonime,</w:t>
      </w:r>
    </w:p>
    <w:p w14:paraId="7693BD41" w14:textId="10E13ED0" w:rsidR="00650245" w:rsidRPr="00C65281" w:rsidRDefault="00650245" w:rsidP="00650245">
      <w:pPr>
        <w:pStyle w:val="JuPara"/>
        <w:rPr>
          <w:rFonts w:ascii="Garamond" w:hAnsi="Garamond" w:cstheme="minorHAnsi"/>
        </w:rPr>
      </w:pPr>
      <w:r w:rsidRPr="00C65281">
        <w:rPr>
          <w:rFonts w:ascii="Garamond" w:hAnsi="Garamond" w:cstheme="minorHAnsi"/>
          <w:i/>
          <w:iCs/>
        </w:rPr>
        <w:t xml:space="preserve">Mban në konsideratë </w:t>
      </w:r>
      <w:r w:rsidRPr="00C65281">
        <w:rPr>
          <w:rFonts w:ascii="Garamond" w:hAnsi="Garamond" w:cstheme="minorHAnsi"/>
        </w:rPr>
        <w:t>kushtet në deklaratën e Qeverisë përgjegjëse</w:t>
      </w:r>
      <w:r w:rsidR="00C65281">
        <w:rPr>
          <w:rFonts w:ascii="Garamond" w:hAnsi="Garamond" w:cstheme="minorHAnsi"/>
        </w:rPr>
        <w:t>,</w:t>
      </w:r>
      <w:r w:rsidRPr="00C65281">
        <w:rPr>
          <w:rFonts w:ascii="Garamond" w:hAnsi="Garamond" w:cstheme="minorHAnsi"/>
        </w:rPr>
        <w:t xml:space="preserve"> sipas </w:t>
      </w:r>
      <w:r w:rsidR="00C65281">
        <w:rPr>
          <w:rFonts w:ascii="Garamond" w:hAnsi="Garamond" w:cstheme="minorHAnsi"/>
        </w:rPr>
        <w:t>n</w:t>
      </w:r>
      <w:r w:rsidRPr="00C65281">
        <w:rPr>
          <w:rFonts w:ascii="Garamond" w:hAnsi="Garamond" w:cstheme="minorHAnsi"/>
        </w:rPr>
        <w:t>enit 1</w:t>
      </w:r>
      <w:r w:rsidR="00C65281">
        <w:rPr>
          <w:rFonts w:ascii="Garamond" w:hAnsi="Garamond" w:cstheme="minorHAnsi"/>
        </w:rPr>
        <w:t>,</w:t>
      </w:r>
      <w:r w:rsidRPr="00C65281">
        <w:rPr>
          <w:rFonts w:ascii="Garamond" w:hAnsi="Garamond" w:cstheme="minorHAnsi"/>
        </w:rPr>
        <w:t xml:space="preserve"> të </w:t>
      </w:r>
      <w:r w:rsidR="00C65281" w:rsidRPr="00C65281">
        <w:rPr>
          <w:rFonts w:ascii="Garamond" w:hAnsi="Garamond" w:cstheme="minorHAnsi"/>
        </w:rPr>
        <w:t>protokollit n</w:t>
      </w:r>
      <w:r w:rsidRPr="00C65281">
        <w:rPr>
          <w:rFonts w:ascii="Garamond" w:hAnsi="Garamond" w:cstheme="minorHAnsi"/>
        </w:rPr>
        <w:t>r. 1, si edhe modalitetet që garantojnë përmbushjen e angazhimeve</w:t>
      </w:r>
      <w:r w:rsidR="00C65281">
        <w:rPr>
          <w:rFonts w:ascii="Garamond" w:hAnsi="Garamond" w:cstheme="minorHAnsi"/>
        </w:rPr>
        <w:t xml:space="preserve"> të referuara në atë deklaratë;</w:t>
      </w:r>
    </w:p>
    <w:p w14:paraId="1CD067B8" w14:textId="4A30E862" w:rsidR="00650245" w:rsidRPr="00C65281" w:rsidRDefault="00650245" w:rsidP="00650245">
      <w:pPr>
        <w:pStyle w:val="JuPara"/>
        <w:rPr>
          <w:rFonts w:ascii="Garamond" w:hAnsi="Garamond" w:cstheme="minorHAnsi"/>
        </w:rPr>
      </w:pPr>
      <w:r w:rsidRPr="00C65281">
        <w:rPr>
          <w:rFonts w:ascii="Garamond" w:hAnsi="Garamond" w:cstheme="minorHAnsi"/>
          <w:i/>
          <w:iCs/>
        </w:rPr>
        <w:t xml:space="preserve">Vendos </w:t>
      </w:r>
      <w:r w:rsidRPr="00C65281">
        <w:rPr>
          <w:rFonts w:ascii="Garamond" w:hAnsi="Garamond" w:cstheme="minorHAnsi"/>
        </w:rPr>
        <w:t xml:space="preserve">të çregjistrojë kërkesën nga lista e saj e çështjeve sipas </w:t>
      </w:r>
      <w:r w:rsidR="00C65281">
        <w:rPr>
          <w:rFonts w:ascii="Garamond" w:hAnsi="Garamond" w:cstheme="minorHAnsi"/>
        </w:rPr>
        <w:t>n</w:t>
      </w:r>
      <w:r w:rsidRPr="00C65281">
        <w:rPr>
          <w:rFonts w:ascii="Garamond" w:hAnsi="Garamond" w:cstheme="minorHAnsi"/>
        </w:rPr>
        <w:t xml:space="preserve">enit 37 § 1 (c) të Konventës. </w:t>
      </w:r>
    </w:p>
    <w:p w14:paraId="0227B020" w14:textId="7E594B43" w:rsidR="00650245" w:rsidRPr="00C65281" w:rsidRDefault="00650245" w:rsidP="00650245">
      <w:pPr>
        <w:pStyle w:val="JuPara"/>
        <w:rPr>
          <w:rFonts w:ascii="Garamond" w:hAnsi="Garamond"/>
        </w:rPr>
      </w:pPr>
      <w:r w:rsidRPr="00C65281">
        <w:rPr>
          <w:rFonts w:ascii="Garamond" w:hAnsi="Garamond" w:cstheme="minorHAnsi"/>
        </w:rPr>
        <w:t>H</w:t>
      </w:r>
      <w:r w:rsidRPr="00C65281">
        <w:rPr>
          <w:rFonts w:ascii="Garamond" w:hAnsi="Garamond"/>
        </w:rPr>
        <w:t xml:space="preserve">artuar në anglisht dhe njoftuar me shkrim, më 11 </w:t>
      </w:r>
      <w:r w:rsidR="00C65281">
        <w:rPr>
          <w:rFonts w:ascii="Garamond" w:hAnsi="Garamond"/>
        </w:rPr>
        <w:t>m</w:t>
      </w:r>
      <w:r w:rsidRPr="00C65281">
        <w:rPr>
          <w:rFonts w:ascii="Garamond" w:hAnsi="Garamond"/>
        </w:rPr>
        <w:t xml:space="preserve">aj 2023. </w:t>
      </w:r>
    </w:p>
    <w:p w14:paraId="479C6A88" w14:textId="77777777" w:rsidR="00650245" w:rsidRPr="00C65281" w:rsidRDefault="00650245" w:rsidP="00650245">
      <w:pPr>
        <w:pStyle w:val="JuPara"/>
        <w:rPr>
          <w:rFonts w:ascii="Garamond" w:hAnsi="Garamon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tblGrid>
      <w:tr w:rsidR="00650245" w:rsidRPr="00C65281" w14:paraId="77B91308" w14:textId="77777777" w:rsidTr="00650245">
        <w:tc>
          <w:tcPr>
            <w:tcW w:w="3686" w:type="dxa"/>
          </w:tcPr>
          <w:p w14:paraId="56AFB202" w14:textId="77777777" w:rsidR="00650245" w:rsidRPr="00CF4DBA" w:rsidRDefault="00650245" w:rsidP="00650245">
            <w:pPr>
              <w:pStyle w:val="JuPara"/>
              <w:ind w:firstLine="0"/>
              <w:rPr>
                <w:rFonts w:ascii="Garamond" w:hAnsi="Garamond"/>
                <w:b/>
              </w:rPr>
            </w:pPr>
            <w:r w:rsidRPr="00CF4DBA">
              <w:rPr>
                <w:rFonts w:ascii="Garamond" w:hAnsi="Garamond"/>
                <w:b/>
              </w:rPr>
              <w:t>Viktoriya Maradudina</w:t>
            </w:r>
          </w:p>
        </w:tc>
        <w:tc>
          <w:tcPr>
            <w:tcW w:w="1984" w:type="dxa"/>
          </w:tcPr>
          <w:p w14:paraId="2D4CD5F6" w14:textId="77777777" w:rsidR="00650245" w:rsidRPr="00CF4DBA" w:rsidRDefault="00650245" w:rsidP="00650245">
            <w:pPr>
              <w:pStyle w:val="JuPara"/>
              <w:ind w:firstLine="0"/>
              <w:rPr>
                <w:rFonts w:ascii="Garamond" w:hAnsi="Garamond"/>
                <w:b/>
              </w:rPr>
            </w:pPr>
            <w:r w:rsidRPr="00CF4DBA">
              <w:rPr>
                <w:rFonts w:ascii="Garamond" w:hAnsi="Garamond"/>
                <w:b/>
              </w:rPr>
              <w:t>Ioannis Ktistakis</w:t>
            </w:r>
          </w:p>
        </w:tc>
      </w:tr>
      <w:tr w:rsidR="00650245" w:rsidRPr="00C65281" w14:paraId="53D45E84" w14:textId="77777777" w:rsidTr="00650245">
        <w:tc>
          <w:tcPr>
            <w:tcW w:w="3686" w:type="dxa"/>
          </w:tcPr>
          <w:p w14:paraId="121C23DA" w14:textId="71D21BC8" w:rsidR="00650245" w:rsidRPr="00C65281" w:rsidRDefault="00CF4DBA" w:rsidP="00650245">
            <w:pPr>
              <w:pStyle w:val="JuPara"/>
              <w:ind w:firstLine="0"/>
              <w:rPr>
                <w:rFonts w:ascii="Garamond" w:hAnsi="Garamond"/>
              </w:rPr>
            </w:pPr>
            <w:r>
              <w:rPr>
                <w:rFonts w:ascii="Garamond" w:hAnsi="Garamond"/>
              </w:rPr>
              <w:t>Zëvendësr</w:t>
            </w:r>
            <w:r w:rsidR="00650245" w:rsidRPr="00C65281">
              <w:rPr>
                <w:rFonts w:ascii="Garamond" w:hAnsi="Garamond"/>
              </w:rPr>
              <w:t>egjistrare e Përkohshme</w:t>
            </w:r>
          </w:p>
        </w:tc>
        <w:tc>
          <w:tcPr>
            <w:tcW w:w="1984" w:type="dxa"/>
          </w:tcPr>
          <w:p w14:paraId="5C98251B" w14:textId="77777777" w:rsidR="00650245" w:rsidRPr="00C65281" w:rsidRDefault="00650245" w:rsidP="00650245">
            <w:pPr>
              <w:pStyle w:val="JuPara"/>
              <w:ind w:firstLine="0"/>
              <w:rPr>
                <w:rFonts w:ascii="Garamond" w:hAnsi="Garamond"/>
              </w:rPr>
            </w:pPr>
            <w:r w:rsidRPr="00C65281">
              <w:rPr>
                <w:rFonts w:ascii="Garamond" w:hAnsi="Garamond"/>
              </w:rPr>
              <w:t>Kryetar</w:t>
            </w:r>
          </w:p>
        </w:tc>
      </w:tr>
    </w:tbl>
    <w:p w14:paraId="153AC266" w14:textId="77777777" w:rsidR="00650245" w:rsidRPr="00C65281" w:rsidRDefault="00650245" w:rsidP="00650245">
      <w:pPr>
        <w:pStyle w:val="JuPara"/>
        <w:rPr>
          <w:rFonts w:ascii="Garamond" w:hAnsi="Garamond"/>
        </w:rPr>
      </w:pPr>
    </w:p>
    <w:p w14:paraId="0A4091BC" w14:textId="77777777" w:rsidR="00650245" w:rsidRPr="00C65281" w:rsidRDefault="00650245" w:rsidP="00650245">
      <w:pPr>
        <w:pStyle w:val="JuPara"/>
        <w:jc w:val="center"/>
        <w:rPr>
          <w:rFonts w:ascii="Garamond" w:hAnsi="Garamond"/>
        </w:rPr>
      </w:pPr>
      <w:r w:rsidRPr="00C65281">
        <w:rPr>
          <w:rFonts w:ascii="Garamond" w:hAnsi="Garamond"/>
        </w:rPr>
        <w:t>SHTOJCË</w:t>
      </w:r>
    </w:p>
    <w:p w14:paraId="6A238221" w14:textId="596FFF8E" w:rsidR="00650245" w:rsidRPr="00C65281" w:rsidRDefault="00CF4DBA" w:rsidP="00650245">
      <w:pPr>
        <w:pStyle w:val="JuPara"/>
        <w:jc w:val="center"/>
        <w:rPr>
          <w:rFonts w:ascii="Garamond" w:hAnsi="Garamond" w:cstheme="minorHAnsi"/>
        </w:rPr>
      </w:pPr>
      <w:r w:rsidRPr="00C65281">
        <w:rPr>
          <w:rFonts w:ascii="Garamond" w:hAnsi="Garamond"/>
        </w:rPr>
        <w:t>KËRKESË QË NGRE ANKESA SIPAS NENIT 1</w:t>
      </w:r>
      <w:r>
        <w:rPr>
          <w:rFonts w:ascii="Garamond" w:hAnsi="Garamond"/>
        </w:rPr>
        <w:t>,</w:t>
      </w:r>
      <w:r w:rsidRPr="00C65281">
        <w:rPr>
          <w:rFonts w:ascii="Garamond" w:hAnsi="Garamond"/>
        </w:rPr>
        <w:t xml:space="preserve"> TË PROTOKOLLIT NR. 1</w:t>
      </w:r>
    </w:p>
    <w:p w14:paraId="6F442BF7" w14:textId="77777777" w:rsidR="00650245" w:rsidRPr="00C65281" w:rsidRDefault="00650245" w:rsidP="00650245">
      <w:pPr>
        <w:pStyle w:val="JuPara"/>
        <w:jc w:val="center"/>
        <w:rPr>
          <w:rFonts w:ascii="Garamond" w:hAnsi="Garamond" w:cstheme="minorHAnsi"/>
        </w:rPr>
      </w:pPr>
    </w:p>
    <w:tbl>
      <w:tblPr>
        <w:tblStyle w:val="TableGrid"/>
        <w:tblW w:w="9903" w:type="dxa"/>
        <w:jc w:val="center"/>
        <w:tblLook w:val="04A0" w:firstRow="1" w:lastRow="0" w:firstColumn="1" w:lastColumn="0" w:noHBand="0" w:noVBand="1"/>
      </w:tblPr>
      <w:tblGrid>
        <w:gridCol w:w="1598"/>
        <w:gridCol w:w="2455"/>
        <w:gridCol w:w="2169"/>
        <w:gridCol w:w="1965"/>
        <w:gridCol w:w="1716"/>
      </w:tblGrid>
      <w:tr w:rsidR="00650245" w:rsidRPr="00C65281" w14:paraId="5CCDB018" w14:textId="77777777" w:rsidTr="00650245">
        <w:trPr>
          <w:trHeight w:val="454"/>
          <w:jc w:val="center"/>
        </w:trPr>
        <w:tc>
          <w:tcPr>
            <w:tcW w:w="1598" w:type="dxa"/>
            <w:vAlign w:val="center"/>
          </w:tcPr>
          <w:p w14:paraId="255785DD" w14:textId="77777777" w:rsidR="00650245" w:rsidRPr="00C65281" w:rsidRDefault="00650245" w:rsidP="00650245">
            <w:pPr>
              <w:pStyle w:val="JuPara"/>
              <w:ind w:firstLine="0"/>
              <w:jc w:val="center"/>
              <w:rPr>
                <w:rFonts w:ascii="Garamond" w:hAnsi="Garamond"/>
                <w:b/>
                <w:bCs/>
                <w:sz w:val="20"/>
                <w:szCs w:val="20"/>
              </w:rPr>
            </w:pPr>
            <w:r w:rsidRPr="00C65281">
              <w:rPr>
                <w:rFonts w:ascii="Garamond" w:hAnsi="Garamond"/>
                <w:b/>
                <w:bCs/>
                <w:sz w:val="20"/>
                <w:szCs w:val="20"/>
              </w:rPr>
              <w:t>Kërkesa nr.</w:t>
            </w:r>
          </w:p>
          <w:p w14:paraId="29B72EC0" w14:textId="77777777" w:rsidR="00650245" w:rsidRPr="00C65281" w:rsidRDefault="00650245" w:rsidP="00650245">
            <w:pPr>
              <w:pStyle w:val="JuPara"/>
              <w:ind w:firstLine="0"/>
              <w:jc w:val="center"/>
              <w:rPr>
                <w:rFonts w:ascii="Garamond" w:hAnsi="Garamond"/>
                <w:sz w:val="20"/>
                <w:szCs w:val="20"/>
              </w:rPr>
            </w:pPr>
            <w:r w:rsidRPr="00C65281">
              <w:rPr>
                <w:rFonts w:ascii="Garamond" w:hAnsi="Garamond"/>
                <w:b/>
                <w:bCs/>
                <w:sz w:val="20"/>
                <w:szCs w:val="20"/>
              </w:rPr>
              <w:t>Data e paraqitjes</w:t>
            </w:r>
          </w:p>
        </w:tc>
        <w:tc>
          <w:tcPr>
            <w:tcW w:w="2455" w:type="dxa"/>
            <w:vAlign w:val="center"/>
          </w:tcPr>
          <w:p w14:paraId="73894FD1" w14:textId="77777777" w:rsidR="00650245" w:rsidRPr="00C65281" w:rsidRDefault="00650245" w:rsidP="00650245">
            <w:pPr>
              <w:pStyle w:val="JuPara"/>
              <w:ind w:firstLine="0"/>
              <w:jc w:val="center"/>
              <w:rPr>
                <w:rFonts w:ascii="Garamond" w:hAnsi="Garamond"/>
                <w:b/>
                <w:bCs/>
                <w:sz w:val="20"/>
                <w:szCs w:val="20"/>
              </w:rPr>
            </w:pPr>
            <w:r w:rsidRPr="00C65281">
              <w:rPr>
                <w:rFonts w:ascii="Garamond" w:hAnsi="Garamond"/>
                <w:b/>
                <w:bCs/>
                <w:sz w:val="20"/>
                <w:szCs w:val="20"/>
              </w:rPr>
              <w:t>Emri i kërkuesit</w:t>
            </w:r>
          </w:p>
          <w:p w14:paraId="75C7FD7C" w14:textId="77777777" w:rsidR="00650245" w:rsidRPr="00C65281" w:rsidRDefault="00650245" w:rsidP="00650245">
            <w:pPr>
              <w:pStyle w:val="JuPara"/>
              <w:ind w:firstLine="0"/>
              <w:jc w:val="center"/>
              <w:rPr>
                <w:rFonts w:ascii="Garamond" w:hAnsi="Garamond"/>
                <w:sz w:val="20"/>
                <w:szCs w:val="20"/>
              </w:rPr>
            </w:pPr>
            <w:r w:rsidRPr="00C65281">
              <w:rPr>
                <w:rFonts w:ascii="Garamond" w:hAnsi="Garamond"/>
                <w:b/>
                <w:bCs/>
                <w:sz w:val="20"/>
                <w:szCs w:val="20"/>
              </w:rPr>
              <w:t>Viti i lindjes</w:t>
            </w:r>
          </w:p>
        </w:tc>
        <w:tc>
          <w:tcPr>
            <w:tcW w:w="2169" w:type="dxa"/>
            <w:vAlign w:val="center"/>
          </w:tcPr>
          <w:p w14:paraId="145461EE" w14:textId="77777777" w:rsidR="00650245" w:rsidRPr="00C65281" w:rsidRDefault="00650245" w:rsidP="00650245">
            <w:pPr>
              <w:pStyle w:val="JuPara"/>
              <w:ind w:firstLine="0"/>
              <w:jc w:val="center"/>
              <w:rPr>
                <w:rFonts w:ascii="Garamond" w:hAnsi="Garamond"/>
                <w:b/>
                <w:bCs/>
                <w:sz w:val="20"/>
                <w:szCs w:val="20"/>
              </w:rPr>
            </w:pPr>
            <w:r w:rsidRPr="00C65281">
              <w:rPr>
                <w:rFonts w:ascii="Garamond" w:hAnsi="Garamond"/>
                <w:b/>
                <w:bCs/>
                <w:sz w:val="20"/>
                <w:szCs w:val="20"/>
              </w:rPr>
              <w:t>Data e marrjes së deklaratës së Qeverisë</w:t>
            </w:r>
          </w:p>
        </w:tc>
        <w:tc>
          <w:tcPr>
            <w:tcW w:w="1965" w:type="dxa"/>
            <w:vAlign w:val="center"/>
          </w:tcPr>
          <w:p w14:paraId="043D9FE3" w14:textId="77777777" w:rsidR="00650245" w:rsidRPr="00C65281" w:rsidRDefault="00650245" w:rsidP="00650245">
            <w:pPr>
              <w:pStyle w:val="JuPara"/>
              <w:ind w:firstLine="0"/>
              <w:jc w:val="center"/>
              <w:rPr>
                <w:rFonts w:ascii="Garamond" w:hAnsi="Garamond"/>
                <w:b/>
                <w:bCs/>
                <w:sz w:val="20"/>
                <w:szCs w:val="20"/>
              </w:rPr>
            </w:pPr>
            <w:r w:rsidRPr="00C65281">
              <w:rPr>
                <w:rFonts w:ascii="Garamond" w:hAnsi="Garamond"/>
                <w:b/>
                <w:bCs/>
                <w:sz w:val="20"/>
                <w:szCs w:val="20"/>
              </w:rPr>
              <w:t>Data e marrjes së komenteve të kërkuesit</w:t>
            </w:r>
          </w:p>
        </w:tc>
        <w:tc>
          <w:tcPr>
            <w:tcW w:w="1716" w:type="dxa"/>
            <w:vAlign w:val="center"/>
          </w:tcPr>
          <w:p w14:paraId="4B2B7253" w14:textId="238D1011" w:rsidR="00650245" w:rsidRPr="00C65281" w:rsidRDefault="00650245" w:rsidP="00650245">
            <w:pPr>
              <w:pStyle w:val="JuPara"/>
              <w:ind w:firstLine="0"/>
              <w:jc w:val="center"/>
              <w:rPr>
                <w:rFonts w:ascii="Garamond" w:hAnsi="Garamond"/>
                <w:b/>
                <w:bCs/>
                <w:sz w:val="20"/>
                <w:szCs w:val="20"/>
              </w:rPr>
            </w:pPr>
            <w:r w:rsidRPr="00C65281">
              <w:rPr>
                <w:rFonts w:ascii="Garamond" w:hAnsi="Garamond"/>
                <w:b/>
                <w:bCs/>
                <w:sz w:val="20"/>
                <w:szCs w:val="20"/>
              </w:rPr>
              <w:t>Shuma e ak</w:t>
            </w:r>
            <w:r w:rsidR="00CF4DBA">
              <w:rPr>
                <w:rFonts w:ascii="Garamond" w:hAnsi="Garamond"/>
                <w:b/>
                <w:bCs/>
                <w:sz w:val="20"/>
                <w:szCs w:val="20"/>
              </w:rPr>
              <w:t>orduar për dëmin pasuror dhe jo</w:t>
            </w:r>
            <w:r w:rsidRPr="00C65281">
              <w:rPr>
                <w:rFonts w:ascii="Garamond" w:hAnsi="Garamond"/>
                <w:b/>
                <w:bCs/>
                <w:sz w:val="20"/>
                <w:szCs w:val="20"/>
              </w:rPr>
              <w:t>pasuror, dhe kostot dhe shpenzimet (në euro)</w:t>
            </w:r>
          </w:p>
        </w:tc>
      </w:tr>
      <w:tr w:rsidR="00650245" w:rsidRPr="00C65281" w14:paraId="4108A9A0" w14:textId="77777777" w:rsidTr="00650245">
        <w:trPr>
          <w:trHeight w:val="454"/>
          <w:jc w:val="center"/>
        </w:trPr>
        <w:tc>
          <w:tcPr>
            <w:tcW w:w="1598" w:type="dxa"/>
            <w:vAlign w:val="center"/>
          </w:tcPr>
          <w:p w14:paraId="59E96FAB" w14:textId="77777777" w:rsidR="00650245" w:rsidRPr="00C65281" w:rsidRDefault="00650245" w:rsidP="00650245">
            <w:pPr>
              <w:pStyle w:val="JuPara"/>
              <w:ind w:firstLine="0"/>
              <w:jc w:val="center"/>
              <w:rPr>
                <w:rFonts w:ascii="Garamond" w:hAnsi="Garamond"/>
                <w:sz w:val="20"/>
                <w:szCs w:val="20"/>
              </w:rPr>
            </w:pPr>
            <w:r w:rsidRPr="00C65281">
              <w:rPr>
                <w:rFonts w:ascii="Garamond" w:hAnsi="Garamond"/>
                <w:sz w:val="20"/>
                <w:szCs w:val="20"/>
              </w:rPr>
              <w:t>11167/09</w:t>
            </w:r>
          </w:p>
          <w:p w14:paraId="6B6DE2FD" w14:textId="33F23AA6" w:rsidR="00650245" w:rsidRPr="00C65281" w:rsidRDefault="00CF4DBA" w:rsidP="00CF4DBA">
            <w:pPr>
              <w:pStyle w:val="JuPara"/>
              <w:ind w:firstLine="0"/>
              <w:jc w:val="center"/>
              <w:rPr>
                <w:rFonts w:ascii="Garamond" w:hAnsi="Garamond"/>
                <w:sz w:val="20"/>
                <w:szCs w:val="20"/>
              </w:rPr>
            </w:pPr>
            <w:r>
              <w:rPr>
                <w:rFonts w:ascii="Garamond" w:hAnsi="Garamond"/>
                <w:sz w:val="20"/>
                <w:szCs w:val="20"/>
              </w:rPr>
              <w:t>21.</w:t>
            </w:r>
            <w:r w:rsidR="00650245" w:rsidRPr="00C65281">
              <w:rPr>
                <w:rFonts w:ascii="Garamond" w:hAnsi="Garamond"/>
                <w:sz w:val="20"/>
                <w:szCs w:val="20"/>
              </w:rPr>
              <w:t>11</w:t>
            </w:r>
            <w:r>
              <w:rPr>
                <w:rFonts w:ascii="Garamond" w:hAnsi="Garamond"/>
                <w:sz w:val="20"/>
                <w:szCs w:val="20"/>
              </w:rPr>
              <w:t>.</w:t>
            </w:r>
            <w:r w:rsidR="00650245" w:rsidRPr="00C65281">
              <w:rPr>
                <w:rFonts w:ascii="Garamond" w:hAnsi="Garamond"/>
                <w:sz w:val="20"/>
                <w:szCs w:val="20"/>
              </w:rPr>
              <w:t>2008</w:t>
            </w:r>
          </w:p>
        </w:tc>
        <w:tc>
          <w:tcPr>
            <w:tcW w:w="2455" w:type="dxa"/>
            <w:vAlign w:val="center"/>
          </w:tcPr>
          <w:p w14:paraId="71A9E504" w14:textId="77777777" w:rsidR="00650245" w:rsidRPr="00C65281" w:rsidRDefault="00650245" w:rsidP="00650245">
            <w:pPr>
              <w:pStyle w:val="JuPara"/>
              <w:ind w:firstLine="0"/>
              <w:jc w:val="center"/>
              <w:rPr>
                <w:rFonts w:ascii="Garamond" w:hAnsi="Garamond"/>
                <w:b/>
                <w:sz w:val="20"/>
                <w:szCs w:val="20"/>
              </w:rPr>
            </w:pPr>
            <w:r w:rsidRPr="00C65281">
              <w:rPr>
                <w:rFonts w:ascii="Garamond" w:hAnsi="Garamond"/>
                <w:b/>
                <w:sz w:val="20"/>
                <w:szCs w:val="20"/>
              </w:rPr>
              <w:t>Genc BUSHATI</w:t>
            </w:r>
          </w:p>
          <w:p w14:paraId="1DC3B3E1" w14:textId="77777777" w:rsidR="00650245" w:rsidRPr="00C65281" w:rsidRDefault="00650245" w:rsidP="00650245">
            <w:pPr>
              <w:pStyle w:val="JuPara"/>
              <w:ind w:firstLine="0"/>
              <w:jc w:val="center"/>
              <w:rPr>
                <w:rFonts w:ascii="Garamond" w:hAnsi="Garamond"/>
                <w:sz w:val="20"/>
                <w:szCs w:val="20"/>
              </w:rPr>
            </w:pPr>
            <w:r w:rsidRPr="00C65281">
              <w:rPr>
                <w:rFonts w:ascii="Garamond" w:hAnsi="Garamond"/>
                <w:sz w:val="20"/>
                <w:szCs w:val="20"/>
              </w:rPr>
              <w:t>1944</w:t>
            </w:r>
          </w:p>
        </w:tc>
        <w:tc>
          <w:tcPr>
            <w:tcW w:w="2169" w:type="dxa"/>
            <w:vAlign w:val="center"/>
          </w:tcPr>
          <w:p w14:paraId="77D88817" w14:textId="5C221501" w:rsidR="00650245" w:rsidRPr="00C65281" w:rsidRDefault="00C65281" w:rsidP="00CF4DBA">
            <w:pPr>
              <w:pStyle w:val="JuPara"/>
              <w:ind w:firstLine="0"/>
              <w:jc w:val="center"/>
              <w:rPr>
                <w:rFonts w:ascii="Garamond" w:hAnsi="Garamond"/>
                <w:bCs/>
                <w:sz w:val="20"/>
                <w:szCs w:val="20"/>
              </w:rPr>
            </w:pPr>
            <w:r>
              <w:rPr>
                <w:rFonts w:ascii="Garamond" w:hAnsi="Garamond"/>
                <w:bCs/>
                <w:sz w:val="20"/>
                <w:szCs w:val="20"/>
              </w:rPr>
              <w:t>15</w:t>
            </w:r>
            <w:r w:rsidR="00CF4DBA">
              <w:rPr>
                <w:rFonts w:ascii="Garamond" w:hAnsi="Garamond"/>
                <w:bCs/>
                <w:sz w:val="20"/>
                <w:szCs w:val="20"/>
              </w:rPr>
              <w:t>.</w:t>
            </w:r>
            <w:r w:rsidR="00650245" w:rsidRPr="00C65281">
              <w:rPr>
                <w:rFonts w:ascii="Garamond" w:hAnsi="Garamond"/>
                <w:bCs/>
                <w:sz w:val="20"/>
                <w:szCs w:val="20"/>
              </w:rPr>
              <w:t>7</w:t>
            </w:r>
            <w:r w:rsidR="00CF4DBA">
              <w:rPr>
                <w:rFonts w:ascii="Garamond" w:hAnsi="Garamond"/>
                <w:bCs/>
                <w:sz w:val="20"/>
                <w:szCs w:val="20"/>
              </w:rPr>
              <w:t>.</w:t>
            </w:r>
            <w:r w:rsidR="00650245" w:rsidRPr="00C65281">
              <w:rPr>
                <w:rFonts w:ascii="Garamond" w:hAnsi="Garamond"/>
                <w:bCs/>
                <w:sz w:val="20"/>
                <w:szCs w:val="20"/>
              </w:rPr>
              <w:t>2016</w:t>
            </w:r>
          </w:p>
        </w:tc>
        <w:tc>
          <w:tcPr>
            <w:tcW w:w="1965" w:type="dxa"/>
            <w:vAlign w:val="center"/>
          </w:tcPr>
          <w:p w14:paraId="48E9D3E4" w14:textId="3912F178" w:rsidR="00650245" w:rsidRPr="00C65281" w:rsidRDefault="00C65281" w:rsidP="00CF4DBA">
            <w:pPr>
              <w:pStyle w:val="JuPara"/>
              <w:ind w:firstLine="0"/>
              <w:jc w:val="center"/>
              <w:rPr>
                <w:rFonts w:ascii="Garamond" w:hAnsi="Garamond"/>
                <w:bCs/>
                <w:sz w:val="20"/>
                <w:szCs w:val="20"/>
              </w:rPr>
            </w:pPr>
            <w:r>
              <w:rPr>
                <w:rFonts w:ascii="Garamond" w:hAnsi="Garamond"/>
                <w:bCs/>
                <w:sz w:val="20"/>
                <w:szCs w:val="20"/>
              </w:rPr>
              <w:t>19</w:t>
            </w:r>
            <w:r w:rsidR="00CF4DBA">
              <w:rPr>
                <w:rFonts w:ascii="Garamond" w:hAnsi="Garamond"/>
                <w:bCs/>
                <w:sz w:val="20"/>
                <w:szCs w:val="20"/>
              </w:rPr>
              <w:t>.</w:t>
            </w:r>
            <w:r w:rsidR="00650245" w:rsidRPr="00C65281">
              <w:rPr>
                <w:rFonts w:ascii="Garamond" w:hAnsi="Garamond"/>
                <w:bCs/>
                <w:sz w:val="20"/>
                <w:szCs w:val="20"/>
              </w:rPr>
              <w:t>9</w:t>
            </w:r>
            <w:r w:rsidR="00CF4DBA">
              <w:rPr>
                <w:rFonts w:ascii="Garamond" w:hAnsi="Garamond"/>
                <w:bCs/>
                <w:sz w:val="20"/>
                <w:szCs w:val="20"/>
              </w:rPr>
              <w:t>.</w:t>
            </w:r>
            <w:r w:rsidR="00650245" w:rsidRPr="00C65281">
              <w:rPr>
                <w:rFonts w:ascii="Garamond" w:hAnsi="Garamond"/>
                <w:bCs/>
                <w:sz w:val="20"/>
                <w:szCs w:val="20"/>
              </w:rPr>
              <w:t>2016</w:t>
            </w:r>
          </w:p>
        </w:tc>
        <w:tc>
          <w:tcPr>
            <w:tcW w:w="1716" w:type="dxa"/>
            <w:vAlign w:val="center"/>
          </w:tcPr>
          <w:p w14:paraId="4D729D48" w14:textId="77777777" w:rsidR="00650245" w:rsidRPr="00C65281" w:rsidRDefault="00650245" w:rsidP="00650245">
            <w:pPr>
              <w:pStyle w:val="JuPara"/>
              <w:ind w:firstLine="0"/>
              <w:jc w:val="center"/>
              <w:rPr>
                <w:rFonts w:ascii="Garamond" w:hAnsi="Garamond"/>
                <w:bCs/>
                <w:sz w:val="20"/>
                <w:szCs w:val="20"/>
              </w:rPr>
            </w:pPr>
            <w:r w:rsidRPr="00C65281">
              <w:rPr>
                <w:rFonts w:ascii="Garamond" w:hAnsi="Garamond"/>
                <w:bCs/>
                <w:sz w:val="20"/>
                <w:szCs w:val="20"/>
              </w:rPr>
              <w:t>4,230</w:t>
            </w:r>
          </w:p>
        </w:tc>
      </w:tr>
    </w:tbl>
    <w:p w14:paraId="04602A22" w14:textId="77777777" w:rsidR="00650245" w:rsidRPr="00C65281" w:rsidRDefault="00650245" w:rsidP="00650245">
      <w:pPr>
        <w:pStyle w:val="JuPara"/>
        <w:jc w:val="center"/>
        <w:rPr>
          <w:rFonts w:ascii="Garamond" w:hAnsi="Garamond"/>
        </w:rPr>
      </w:pPr>
    </w:p>
    <w:p w14:paraId="783D0701" w14:textId="77777777" w:rsidR="00B56218" w:rsidRPr="00C65281" w:rsidRDefault="00B56218" w:rsidP="00650245">
      <w:pPr>
        <w:spacing w:after="0" w:line="240" w:lineRule="auto"/>
        <w:ind w:firstLine="284"/>
        <w:rPr>
          <w:lang w:val="sq-AL"/>
        </w:rPr>
      </w:pPr>
    </w:p>
    <w:sectPr w:rsidR="00B56218" w:rsidRPr="00C6528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0A0E" w14:textId="77777777" w:rsidR="00EB318F" w:rsidRDefault="00EB318F" w:rsidP="00650245">
      <w:pPr>
        <w:spacing w:after="0" w:line="240" w:lineRule="auto"/>
      </w:pPr>
      <w:r>
        <w:separator/>
      </w:r>
    </w:p>
  </w:endnote>
  <w:endnote w:type="continuationSeparator" w:id="0">
    <w:p w14:paraId="39F7E6F6" w14:textId="77777777" w:rsidR="00EB318F" w:rsidRDefault="00EB318F" w:rsidP="00650245">
      <w:pPr>
        <w:spacing w:after="0" w:line="240" w:lineRule="auto"/>
      </w:pPr>
      <w:r>
        <w:continuationSeparator/>
      </w:r>
    </w:p>
  </w:endnote>
  <w:endnote w:type="continuationNotice" w:id="1">
    <w:p w14:paraId="7F6F578B" w14:textId="77777777" w:rsidR="00EB318F" w:rsidRDefault="00EB3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425E" w14:textId="77777777" w:rsidR="00EB318F" w:rsidRDefault="00EB318F" w:rsidP="00650245">
      <w:pPr>
        <w:spacing w:after="0" w:line="240" w:lineRule="auto"/>
      </w:pPr>
      <w:r>
        <w:separator/>
      </w:r>
    </w:p>
  </w:footnote>
  <w:footnote w:type="continuationSeparator" w:id="0">
    <w:p w14:paraId="7ABB41BF" w14:textId="77777777" w:rsidR="00EB318F" w:rsidRDefault="00EB318F" w:rsidP="00650245">
      <w:pPr>
        <w:spacing w:after="0" w:line="240" w:lineRule="auto"/>
      </w:pPr>
      <w:r>
        <w:continuationSeparator/>
      </w:r>
    </w:p>
  </w:footnote>
  <w:footnote w:type="continuationNotice" w:id="1">
    <w:p w14:paraId="4215DC38" w14:textId="77777777" w:rsidR="00EB318F" w:rsidRDefault="00EB3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D7BF" w14:textId="77777777" w:rsidR="00ED7A08" w:rsidRPr="00650245" w:rsidRDefault="00ED7A08" w:rsidP="00650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C98"/>
    <w:rsid w:val="00012745"/>
    <w:rsid w:val="00031098"/>
    <w:rsid w:val="000427A6"/>
    <w:rsid w:val="000458EB"/>
    <w:rsid w:val="0006026E"/>
    <w:rsid w:val="00075D23"/>
    <w:rsid w:val="00090D05"/>
    <w:rsid w:val="0009171B"/>
    <w:rsid w:val="000956ED"/>
    <w:rsid w:val="000A39B7"/>
    <w:rsid w:val="000A63D8"/>
    <w:rsid w:val="000A77D9"/>
    <w:rsid w:val="000C3D4A"/>
    <w:rsid w:val="000C55A5"/>
    <w:rsid w:val="000D1EA1"/>
    <w:rsid w:val="000D7F01"/>
    <w:rsid w:val="000F35F6"/>
    <w:rsid w:val="001149C8"/>
    <w:rsid w:val="00121461"/>
    <w:rsid w:val="0012538B"/>
    <w:rsid w:val="001324E8"/>
    <w:rsid w:val="00135329"/>
    <w:rsid w:val="0014112D"/>
    <w:rsid w:val="00141B18"/>
    <w:rsid w:val="00142C2B"/>
    <w:rsid w:val="00160E68"/>
    <w:rsid w:val="00167FB5"/>
    <w:rsid w:val="00175424"/>
    <w:rsid w:val="00183018"/>
    <w:rsid w:val="00190C3D"/>
    <w:rsid w:val="001944EB"/>
    <w:rsid w:val="0019635C"/>
    <w:rsid w:val="001C0519"/>
    <w:rsid w:val="001D2ABC"/>
    <w:rsid w:val="001D2F1F"/>
    <w:rsid w:val="001D3A2F"/>
    <w:rsid w:val="001E065E"/>
    <w:rsid w:val="00204F93"/>
    <w:rsid w:val="00213728"/>
    <w:rsid w:val="00234715"/>
    <w:rsid w:val="00252C2A"/>
    <w:rsid w:val="00257E0A"/>
    <w:rsid w:val="00263D3A"/>
    <w:rsid w:val="002821F2"/>
    <w:rsid w:val="00285D42"/>
    <w:rsid w:val="002929DC"/>
    <w:rsid w:val="002A23A7"/>
    <w:rsid w:val="002B1C09"/>
    <w:rsid w:val="002B7B82"/>
    <w:rsid w:val="002C3DC5"/>
    <w:rsid w:val="002C7879"/>
    <w:rsid w:val="002D71C7"/>
    <w:rsid w:val="002E2CDE"/>
    <w:rsid w:val="002F0DDD"/>
    <w:rsid w:val="003346E6"/>
    <w:rsid w:val="00334BDB"/>
    <w:rsid w:val="00336C31"/>
    <w:rsid w:val="00345F96"/>
    <w:rsid w:val="0034608A"/>
    <w:rsid w:val="00354F7A"/>
    <w:rsid w:val="003557A7"/>
    <w:rsid w:val="003661C2"/>
    <w:rsid w:val="003673CA"/>
    <w:rsid w:val="0037035C"/>
    <w:rsid w:val="00373E4A"/>
    <w:rsid w:val="00375DE4"/>
    <w:rsid w:val="00390D00"/>
    <w:rsid w:val="003956A3"/>
    <w:rsid w:val="00397301"/>
    <w:rsid w:val="003A0634"/>
    <w:rsid w:val="003A40CD"/>
    <w:rsid w:val="003A489E"/>
    <w:rsid w:val="003B4312"/>
    <w:rsid w:val="003B57C7"/>
    <w:rsid w:val="003D12F1"/>
    <w:rsid w:val="003D54AD"/>
    <w:rsid w:val="003D693A"/>
    <w:rsid w:val="003E6C19"/>
    <w:rsid w:val="003F3E0F"/>
    <w:rsid w:val="00421355"/>
    <w:rsid w:val="00425784"/>
    <w:rsid w:val="00452990"/>
    <w:rsid w:val="004604CD"/>
    <w:rsid w:val="00462CFB"/>
    <w:rsid w:val="00486681"/>
    <w:rsid w:val="00490071"/>
    <w:rsid w:val="004948FB"/>
    <w:rsid w:val="00497200"/>
    <w:rsid w:val="004A2477"/>
    <w:rsid w:val="004C0C4E"/>
    <w:rsid w:val="004C25A2"/>
    <w:rsid w:val="004C3178"/>
    <w:rsid w:val="004C691E"/>
    <w:rsid w:val="004D4267"/>
    <w:rsid w:val="00504AE4"/>
    <w:rsid w:val="00505829"/>
    <w:rsid w:val="00523B5F"/>
    <w:rsid w:val="005305D6"/>
    <w:rsid w:val="00551CD1"/>
    <w:rsid w:val="0055542F"/>
    <w:rsid w:val="00567F21"/>
    <w:rsid w:val="00571959"/>
    <w:rsid w:val="00571B80"/>
    <w:rsid w:val="0058238F"/>
    <w:rsid w:val="00592C00"/>
    <w:rsid w:val="00597694"/>
    <w:rsid w:val="005B0B35"/>
    <w:rsid w:val="005B5967"/>
    <w:rsid w:val="005B7AE1"/>
    <w:rsid w:val="005C301C"/>
    <w:rsid w:val="005F5040"/>
    <w:rsid w:val="005F5236"/>
    <w:rsid w:val="0060022F"/>
    <w:rsid w:val="006032E2"/>
    <w:rsid w:val="00615BAF"/>
    <w:rsid w:val="0061609B"/>
    <w:rsid w:val="00623E07"/>
    <w:rsid w:val="00632A0C"/>
    <w:rsid w:val="00635AE1"/>
    <w:rsid w:val="006379E9"/>
    <w:rsid w:val="006425E0"/>
    <w:rsid w:val="00650245"/>
    <w:rsid w:val="00666247"/>
    <w:rsid w:val="00677AD4"/>
    <w:rsid w:val="00681454"/>
    <w:rsid w:val="00687BAF"/>
    <w:rsid w:val="006945EE"/>
    <w:rsid w:val="006A512D"/>
    <w:rsid w:val="006C5CF7"/>
    <w:rsid w:val="006D77AF"/>
    <w:rsid w:val="006E6768"/>
    <w:rsid w:val="00710CF1"/>
    <w:rsid w:val="0072369E"/>
    <w:rsid w:val="007253AC"/>
    <w:rsid w:val="0073468F"/>
    <w:rsid w:val="0075722D"/>
    <w:rsid w:val="00773738"/>
    <w:rsid w:val="0077527A"/>
    <w:rsid w:val="00775B4C"/>
    <w:rsid w:val="007A0E53"/>
    <w:rsid w:val="007A6FEA"/>
    <w:rsid w:val="007C2D06"/>
    <w:rsid w:val="007C5CE9"/>
    <w:rsid w:val="007D20DA"/>
    <w:rsid w:val="007D4E26"/>
    <w:rsid w:val="007E4A74"/>
    <w:rsid w:val="007F1F00"/>
    <w:rsid w:val="007F20FF"/>
    <w:rsid w:val="0080141E"/>
    <w:rsid w:val="00804031"/>
    <w:rsid w:val="008044AD"/>
    <w:rsid w:val="00867646"/>
    <w:rsid w:val="0087040E"/>
    <w:rsid w:val="00886A96"/>
    <w:rsid w:val="00893102"/>
    <w:rsid w:val="008A2062"/>
    <w:rsid w:val="008C2627"/>
    <w:rsid w:val="008D0BB7"/>
    <w:rsid w:val="008D0DF7"/>
    <w:rsid w:val="008D2BEA"/>
    <w:rsid w:val="008E44CB"/>
    <w:rsid w:val="0091190D"/>
    <w:rsid w:val="00915403"/>
    <w:rsid w:val="00943A32"/>
    <w:rsid w:val="00950BCD"/>
    <w:rsid w:val="009547F5"/>
    <w:rsid w:val="00983036"/>
    <w:rsid w:val="0098745D"/>
    <w:rsid w:val="009B2B45"/>
    <w:rsid w:val="009E40DB"/>
    <w:rsid w:val="009E4E0D"/>
    <w:rsid w:val="00A0127D"/>
    <w:rsid w:val="00A0283C"/>
    <w:rsid w:val="00A11BF5"/>
    <w:rsid w:val="00A20C98"/>
    <w:rsid w:val="00A24CF9"/>
    <w:rsid w:val="00A25B9A"/>
    <w:rsid w:val="00A32E87"/>
    <w:rsid w:val="00A4586F"/>
    <w:rsid w:val="00A46623"/>
    <w:rsid w:val="00A52EE5"/>
    <w:rsid w:val="00A6527C"/>
    <w:rsid w:val="00A72D95"/>
    <w:rsid w:val="00A925C9"/>
    <w:rsid w:val="00AA3CC7"/>
    <w:rsid w:val="00AA47BF"/>
    <w:rsid w:val="00AA6249"/>
    <w:rsid w:val="00AC7415"/>
    <w:rsid w:val="00AC7C81"/>
    <w:rsid w:val="00AD2604"/>
    <w:rsid w:val="00AD3E46"/>
    <w:rsid w:val="00AD5DCD"/>
    <w:rsid w:val="00AD7C20"/>
    <w:rsid w:val="00B034C3"/>
    <w:rsid w:val="00B11BC7"/>
    <w:rsid w:val="00B1293F"/>
    <w:rsid w:val="00B22815"/>
    <w:rsid w:val="00B33946"/>
    <w:rsid w:val="00B4296B"/>
    <w:rsid w:val="00B56218"/>
    <w:rsid w:val="00B63506"/>
    <w:rsid w:val="00B70659"/>
    <w:rsid w:val="00B71250"/>
    <w:rsid w:val="00B7328E"/>
    <w:rsid w:val="00B76F3D"/>
    <w:rsid w:val="00B848A9"/>
    <w:rsid w:val="00B86D15"/>
    <w:rsid w:val="00BA244C"/>
    <w:rsid w:val="00BA2E85"/>
    <w:rsid w:val="00BB55ED"/>
    <w:rsid w:val="00BD0463"/>
    <w:rsid w:val="00BD0BEA"/>
    <w:rsid w:val="00BD36DF"/>
    <w:rsid w:val="00BE3604"/>
    <w:rsid w:val="00C042A6"/>
    <w:rsid w:val="00C07057"/>
    <w:rsid w:val="00C1476F"/>
    <w:rsid w:val="00C20549"/>
    <w:rsid w:val="00C30D0F"/>
    <w:rsid w:val="00C3572F"/>
    <w:rsid w:val="00C45955"/>
    <w:rsid w:val="00C5044F"/>
    <w:rsid w:val="00C5501C"/>
    <w:rsid w:val="00C634C1"/>
    <w:rsid w:val="00C65281"/>
    <w:rsid w:val="00C71BED"/>
    <w:rsid w:val="00C72247"/>
    <w:rsid w:val="00C944E6"/>
    <w:rsid w:val="00CA001C"/>
    <w:rsid w:val="00CA3579"/>
    <w:rsid w:val="00CA67DB"/>
    <w:rsid w:val="00CA70A2"/>
    <w:rsid w:val="00CB54DF"/>
    <w:rsid w:val="00CC12D4"/>
    <w:rsid w:val="00CD3537"/>
    <w:rsid w:val="00CE2A8A"/>
    <w:rsid w:val="00CE3B4C"/>
    <w:rsid w:val="00CE5249"/>
    <w:rsid w:val="00CF257C"/>
    <w:rsid w:val="00CF4DBA"/>
    <w:rsid w:val="00CF5C54"/>
    <w:rsid w:val="00CF6387"/>
    <w:rsid w:val="00D12A76"/>
    <w:rsid w:val="00D20D88"/>
    <w:rsid w:val="00D63ABD"/>
    <w:rsid w:val="00D664EF"/>
    <w:rsid w:val="00D67248"/>
    <w:rsid w:val="00D70F22"/>
    <w:rsid w:val="00D77F86"/>
    <w:rsid w:val="00D8097B"/>
    <w:rsid w:val="00DA0E6B"/>
    <w:rsid w:val="00DA3185"/>
    <w:rsid w:val="00DA4EAA"/>
    <w:rsid w:val="00DB1844"/>
    <w:rsid w:val="00DE03AC"/>
    <w:rsid w:val="00DE1916"/>
    <w:rsid w:val="00E04762"/>
    <w:rsid w:val="00E05E21"/>
    <w:rsid w:val="00E24542"/>
    <w:rsid w:val="00E410D0"/>
    <w:rsid w:val="00E4133D"/>
    <w:rsid w:val="00E458A5"/>
    <w:rsid w:val="00E56153"/>
    <w:rsid w:val="00E61BC2"/>
    <w:rsid w:val="00E702BD"/>
    <w:rsid w:val="00E71C53"/>
    <w:rsid w:val="00E90C21"/>
    <w:rsid w:val="00E944F8"/>
    <w:rsid w:val="00EB318F"/>
    <w:rsid w:val="00EC5ECD"/>
    <w:rsid w:val="00ED307F"/>
    <w:rsid w:val="00ED57FF"/>
    <w:rsid w:val="00ED7A08"/>
    <w:rsid w:val="00EE4477"/>
    <w:rsid w:val="00EF1574"/>
    <w:rsid w:val="00EF5D20"/>
    <w:rsid w:val="00F50B83"/>
    <w:rsid w:val="00F51CB4"/>
    <w:rsid w:val="00F52037"/>
    <w:rsid w:val="00F67838"/>
    <w:rsid w:val="00F67E1E"/>
    <w:rsid w:val="00F9053B"/>
    <w:rsid w:val="00FB2D9C"/>
    <w:rsid w:val="00FC3948"/>
    <w:rsid w:val="00FC51DA"/>
    <w:rsid w:val="00FC5391"/>
    <w:rsid w:val="00FC6CAA"/>
    <w:rsid w:val="00FD7CC4"/>
    <w:rsid w:val="00FE24E7"/>
    <w:rsid w:val="00FE32FE"/>
    <w:rsid w:val="00FE408A"/>
    <w:rsid w:val="00FE5DBE"/>
    <w:rsid w:val="00FE5DFC"/>
    <w:rsid w:val="00FF1204"/>
    <w:rsid w:val="00FF6626"/>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BE8F"/>
  <w15:docId w15:val="{1A7F5ECC-2862-4ED6-9FFF-BBCCF437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_Para"/>
    <w:basedOn w:val="Normal"/>
    <w:link w:val="JuParaChar"/>
    <w:uiPriority w:val="4"/>
    <w:qFormat/>
    <w:rsid w:val="00650245"/>
    <w:pPr>
      <w:spacing w:after="0" w:line="240" w:lineRule="auto"/>
      <w:ind w:firstLine="284"/>
      <w:jc w:val="both"/>
    </w:pPr>
    <w:rPr>
      <w:rFonts w:eastAsiaTheme="minorHAnsi"/>
      <w:sz w:val="24"/>
      <w:szCs w:val="24"/>
      <w:lang w:val="sq-AL"/>
    </w:rPr>
  </w:style>
  <w:style w:type="paragraph" w:styleId="Header">
    <w:name w:val="header"/>
    <w:basedOn w:val="Normal"/>
    <w:link w:val="HeaderChar"/>
    <w:uiPriority w:val="99"/>
    <w:rsid w:val="00650245"/>
    <w:pPr>
      <w:tabs>
        <w:tab w:val="center" w:pos="4536"/>
        <w:tab w:val="right" w:pos="9072"/>
      </w:tabs>
      <w:spacing w:after="0" w:line="240" w:lineRule="auto"/>
    </w:pPr>
    <w:rPr>
      <w:rFonts w:eastAsiaTheme="minorHAnsi"/>
      <w:sz w:val="24"/>
      <w:szCs w:val="24"/>
      <w:lang w:val="sq-AL"/>
    </w:rPr>
  </w:style>
  <w:style w:type="character" w:customStyle="1" w:styleId="HeaderChar">
    <w:name w:val="Header Char"/>
    <w:basedOn w:val="DefaultParagraphFont"/>
    <w:link w:val="Header"/>
    <w:uiPriority w:val="99"/>
    <w:rsid w:val="00650245"/>
    <w:rPr>
      <w:rFonts w:eastAsiaTheme="minorHAnsi"/>
      <w:sz w:val="24"/>
      <w:szCs w:val="24"/>
      <w:lang w:val="sq-AL"/>
    </w:rPr>
  </w:style>
  <w:style w:type="paragraph" w:customStyle="1" w:styleId="JuJudges">
    <w:name w:val="Ju_Judges"/>
    <w:aliases w:val="_Judges"/>
    <w:basedOn w:val="Normal"/>
    <w:uiPriority w:val="32"/>
    <w:qFormat/>
    <w:rsid w:val="00650245"/>
    <w:pPr>
      <w:tabs>
        <w:tab w:val="left" w:pos="567"/>
        <w:tab w:val="left" w:pos="1134"/>
      </w:tabs>
      <w:spacing w:after="0" w:line="240" w:lineRule="auto"/>
    </w:pPr>
    <w:rPr>
      <w:rFonts w:eastAsiaTheme="minorHAnsi"/>
      <w:sz w:val="24"/>
      <w:szCs w:val="24"/>
      <w:lang w:val="sq-AL"/>
    </w:rPr>
  </w:style>
  <w:style w:type="table" w:styleId="TableGrid">
    <w:name w:val="Table Grid"/>
    <w:basedOn w:val="TableNormal"/>
    <w:uiPriority w:val="59"/>
    <w:rsid w:val="00650245"/>
    <w:pPr>
      <w:spacing w:after="0" w:line="240" w:lineRule="auto"/>
    </w:pPr>
    <w:rPr>
      <w:rFonts w:eastAsiaTheme="minorEastAsia"/>
      <w:sz w:val="24"/>
      <w:szCs w:val="24"/>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ParaChar">
    <w:name w:val="Ju_Para Char"/>
    <w:aliases w:val="_Para Char"/>
    <w:link w:val="JuPara"/>
    <w:uiPriority w:val="4"/>
    <w:rsid w:val="00650245"/>
    <w:rPr>
      <w:rFonts w:eastAsiaTheme="minorHAnsi"/>
      <w:sz w:val="24"/>
      <w:szCs w:val="24"/>
      <w:lang w:val="sq-AL"/>
    </w:rPr>
  </w:style>
  <w:style w:type="paragraph" w:styleId="Footer">
    <w:name w:val="footer"/>
    <w:basedOn w:val="Normal"/>
    <w:link w:val="FooterChar"/>
    <w:uiPriority w:val="99"/>
    <w:unhideWhenUsed/>
    <w:rsid w:val="00650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11167-09</Nr_x002e__x0020_akti>
    <Data_x0020_e_x0020_Krijimit xmlns="0e656187-b300-4fb0-8bf4-3a50f872073c">2023-06-05T10:39:52Z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2023-06-04T22:00:00Z</Date_x0020_protokolli>
    <Titulli xmlns="0e656187-b300-4fb0-8bf4-3a50f872073c">Genc Bushati kundër Shqipërisë</Titulli>
    <Modifikuesi xmlns="0e656187-b300-4fb0-8bf4-3a50f872073c">Fjora.Cahani</Modifikuesi>
    <Nr_x002e__x0020_prot_x0020_QBZ xmlns="0e656187-b300-4fb0-8bf4-3a50f872073c">818/1</Nr_x002e__x0020_prot_x0020_QBZ>
    <Data_x0020_e_x0020_Modifikimit xmlns="0e656187-b300-4fb0-8bf4-3a50f872073c">2023-06-06T10:19:43Z</Data_x0020_e_x0020_Modifikimit>
    <Dekretuar xmlns="0e656187-b300-4fb0-8bf4-3a50f872073c">false</Dekretuar>
    <Data xmlns="0e656187-b300-4fb0-8bf4-3a50f872073c">2023-05-10T22:00:00Z</Data>
    <Nr_x002e__x0020_protokolli_x0020_i_x0020_aktit xmlns="0e656187-b300-4fb0-8bf4-3a50f872073c">3640/1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2351023B772C4B99A02EEF66542DE55C"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2351023B772C4B99A02EEF66542DE55C"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F1F88-FDB3-4A55-99C9-9AB2A93A467A}">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BC8D27B8-26E2-46BB-8609-87B7B13C3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E742AE-50B9-4DE4-93E4-C20E7BA55AA5}">
  <ds:schemaRefs>
    <ds:schemaRef ds:uri="http://schemas.microsoft.com/sharepoint/v3/contenttype/forms"/>
  </ds:schemaRefs>
</ds:datastoreItem>
</file>

<file path=customXml/itemProps4.xml><?xml version="1.0" encoding="utf-8"?>
<ds:datastoreItem xmlns:ds="http://schemas.openxmlformats.org/officeDocument/2006/customXml" ds:itemID="{DDDD02F2-EC09-46EC-B621-6C9F9502C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7E1187F-B5BA-489B-8144-536BBBCAF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Genc Bushati kundër Shqipërisë</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Genc Bushati kundër Shqipërisë</dc:title>
  <dc:creator>Entela Suli</dc:creator>
  <cp:lastModifiedBy>Jonida Zaharia</cp:lastModifiedBy>
  <cp:revision>2</cp:revision>
  <dcterms:created xsi:type="dcterms:W3CDTF">2024-06-07T09:49:00Z</dcterms:created>
  <dcterms:modified xsi:type="dcterms:W3CDTF">2024-06-07T09:49:00Z</dcterms:modified>
</cp:coreProperties>
</file>