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4D50" w14:textId="77777777" w:rsidR="006217B5" w:rsidRPr="00D93969" w:rsidRDefault="006217B5" w:rsidP="006217B5">
      <w:pPr>
        <w:tabs>
          <w:tab w:val="left" w:pos="5529"/>
        </w:tabs>
        <w:spacing w:after="0" w:line="240" w:lineRule="auto"/>
        <w:ind w:firstLine="284"/>
        <w:jc w:val="center"/>
        <w:rPr>
          <w:rFonts w:ascii="Garamond" w:hAnsi="Garamond"/>
          <w:sz w:val="24"/>
          <w:szCs w:val="24"/>
        </w:rPr>
      </w:pPr>
      <w:r w:rsidRPr="00D93969">
        <w:rPr>
          <w:rFonts w:ascii="Garamond" w:hAnsi="Garamond"/>
          <w:sz w:val="24"/>
          <w:szCs w:val="24"/>
        </w:rPr>
        <w:t>GJYKATA EVROPIANE E TË DREJTAVE TË NJERIUT</w:t>
      </w:r>
    </w:p>
    <w:p w14:paraId="2370CE8B" w14:textId="60D8CA51" w:rsidR="00FD48B1" w:rsidRPr="00D93969" w:rsidRDefault="00FD48B1" w:rsidP="001A2195">
      <w:pPr>
        <w:rPr>
          <w:rFonts w:ascii="Garamond" w:hAnsi="Garamond"/>
        </w:rPr>
      </w:pPr>
    </w:p>
    <w:p w14:paraId="41C34A7B" w14:textId="77777777" w:rsidR="006217B5" w:rsidRPr="00D93969" w:rsidRDefault="006217B5" w:rsidP="006217B5">
      <w:pPr>
        <w:tabs>
          <w:tab w:val="left" w:pos="5529"/>
        </w:tabs>
        <w:spacing w:after="0" w:line="240" w:lineRule="auto"/>
        <w:ind w:firstLine="284"/>
        <w:jc w:val="center"/>
        <w:rPr>
          <w:rFonts w:ascii="Garamond" w:hAnsi="Garamond"/>
          <w:sz w:val="24"/>
          <w:szCs w:val="24"/>
        </w:rPr>
      </w:pPr>
      <w:r w:rsidRPr="00D93969">
        <w:rPr>
          <w:rFonts w:ascii="Garamond" w:hAnsi="Garamond"/>
          <w:sz w:val="24"/>
          <w:szCs w:val="24"/>
        </w:rPr>
        <w:t>SEKSIONI I TRETË</w:t>
      </w:r>
    </w:p>
    <w:p w14:paraId="7C0D18E9" w14:textId="77777777" w:rsidR="006217B5" w:rsidRPr="00D93969" w:rsidRDefault="006217B5" w:rsidP="006217B5">
      <w:pPr>
        <w:tabs>
          <w:tab w:val="left" w:pos="5529"/>
        </w:tabs>
        <w:spacing w:after="0" w:line="240" w:lineRule="auto"/>
        <w:ind w:firstLine="284"/>
        <w:jc w:val="center"/>
        <w:rPr>
          <w:rFonts w:ascii="Garamond" w:hAnsi="Garamond"/>
          <w:sz w:val="24"/>
          <w:szCs w:val="24"/>
        </w:rPr>
      </w:pPr>
    </w:p>
    <w:p w14:paraId="1D81A6BF" w14:textId="77777777" w:rsidR="006217B5" w:rsidRPr="00BF4D86" w:rsidRDefault="006217B5" w:rsidP="006217B5">
      <w:pPr>
        <w:tabs>
          <w:tab w:val="left" w:pos="5529"/>
        </w:tabs>
        <w:spacing w:after="0" w:line="240" w:lineRule="auto"/>
        <w:ind w:firstLine="284"/>
        <w:jc w:val="center"/>
        <w:rPr>
          <w:rFonts w:ascii="Garamond" w:hAnsi="Garamond"/>
          <w:b/>
          <w:sz w:val="24"/>
          <w:szCs w:val="24"/>
        </w:rPr>
      </w:pPr>
      <w:r w:rsidRPr="00BF4D86">
        <w:rPr>
          <w:rFonts w:ascii="Garamond" w:hAnsi="Garamond"/>
          <w:b/>
          <w:sz w:val="24"/>
          <w:szCs w:val="24"/>
        </w:rPr>
        <w:t>VENDIM</w:t>
      </w:r>
    </w:p>
    <w:p w14:paraId="11E6A9DB" w14:textId="77777777" w:rsidR="006217B5" w:rsidRDefault="006217B5" w:rsidP="006217B5">
      <w:pPr>
        <w:pStyle w:val="NoSpacing"/>
        <w:ind w:firstLine="284"/>
        <w:jc w:val="center"/>
        <w:rPr>
          <w:rFonts w:ascii="Garamond" w:hAnsi="Garamond"/>
          <w:i/>
          <w:sz w:val="24"/>
          <w:szCs w:val="24"/>
          <w:lang w:val="sq-AL"/>
        </w:rPr>
      </w:pPr>
      <w:r w:rsidRPr="00D93969">
        <w:rPr>
          <w:rFonts w:ascii="Garamond" w:hAnsi="Garamond"/>
          <w:i/>
          <w:sz w:val="24"/>
          <w:szCs w:val="24"/>
          <w:lang w:val="sq-AL"/>
        </w:rPr>
        <w:t>Kërkesa nr. 65320/09</w:t>
      </w:r>
    </w:p>
    <w:p w14:paraId="5475D4CB" w14:textId="77777777" w:rsidR="00D93969" w:rsidRPr="00D93969" w:rsidRDefault="00D93969" w:rsidP="006217B5">
      <w:pPr>
        <w:pStyle w:val="NoSpacing"/>
        <w:ind w:firstLine="284"/>
        <w:jc w:val="center"/>
        <w:rPr>
          <w:rFonts w:ascii="Garamond" w:hAnsi="Garamond"/>
          <w:i/>
          <w:sz w:val="16"/>
          <w:szCs w:val="24"/>
          <w:lang w:val="sq-AL"/>
        </w:rPr>
      </w:pPr>
    </w:p>
    <w:p w14:paraId="2F90A646" w14:textId="7C37BC86" w:rsidR="006217B5" w:rsidRPr="00BF4D86" w:rsidRDefault="006217B5" w:rsidP="00BF4D86">
      <w:pPr>
        <w:pStyle w:val="NoSpacing"/>
        <w:ind w:firstLine="284"/>
        <w:jc w:val="center"/>
        <w:rPr>
          <w:rFonts w:ascii="Garamond" w:hAnsi="Garamond"/>
          <w:b/>
          <w:sz w:val="24"/>
          <w:szCs w:val="24"/>
          <w:lang w:val="sq-AL"/>
        </w:rPr>
      </w:pPr>
      <w:r w:rsidRPr="00BF4D86">
        <w:rPr>
          <w:rFonts w:ascii="Garamond" w:hAnsi="Garamond"/>
          <w:b/>
          <w:sz w:val="24"/>
          <w:szCs w:val="24"/>
          <w:lang w:val="sq-AL"/>
        </w:rPr>
        <w:t>DEA 7.CO</w:t>
      </w:r>
      <w:r w:rsidR="00BF4D86">
        <w:rPr>
          <w:rFonts w:ascii="Garamond" w:hAnsi="Garamond"/>
          <w:b/>
          <w:sz w:val="24"/>
          <w:szCs w:val="24"/>
          <w:lang w:val="sq-AL"/>
        </w:rPr>
        <w:t xml:space="preserve"> </w:t>
      </w:r>
      <w:r w:rsidR="00D93969" w:rsidRPr="00BF4D86">
        <w:rPr>
          <w:rFonts w:ascii="Garamond" w:hAnsi="Garamond"/>
          <w:b/>
          <w:sz w:val="24"/>
          <w:szCs w:val="24"/>
          <w:lang w:val="sq-AL"/>
        </w:rPr>
        <w:t>KUNDËR SHQIPËRISË</w:t>
      </w:r>
    </w:p>
    <w:p w14:paraId="5B47A03F" w14:textId="77777777" w:rsidR="006217B5" w:rsidRPr="00D93969" w:rsidRDefault="006217B5" w:rsidP="006217B5">
      <w:pPr>
        <w:pStyle w:val="NoSpacing"/>
        <w:ind w:firstLine="284"/>
        <w:jc w:val="center"/>
        <w:rPr>
          <w:rFonts w:ascii="Garamond" w:hAnsi="Garamond"/>
          <w:sz w:val="24"/>
          <w:szCs w:val="24"/>
          <w:lang w:val="sq-AL"/>
        </w:rPr>
      </w:pPr>
    </w:p>
    <w:p w14:paraId="31268A60" w14:textId="614EA395" w:rsidR="006217B5" w:rsidRPr="00D93969" w:rsidRDefault="006217B5" w:rsidP="006217B5">
      <w:pPr>
        <w:pStyle w:val="ECHRPara"/>
        <w:rPr>
          <w:rFonts w:ascii="Garamond" w:hAnsi="Garamond"/>
          <w:szCs w:val="24"/>
          <w:lang w:val="sq-AL"/>
        </w:rPr>
      </w:pPr>
      <w:r w:rsidRPr="00D93969">
        <w:rPr>
          <w:rFonts w:ascii="Garamond" w:hAnsi="Garamond"/>
          <w:szCs w:val="24"/>
          <w:lang w:val="sq-AL"/>
        </w:rPr>
        <w:t xml:space="preserve">Gjykata Evropiane e të Drejtave të Njeriut (Seksioni i Tretë), e mbledhur më 27 </w:t>
      </w:r>
      <w:r w:rsidR="00D93969">
        <w:rPr>
          <w:rFonts w:ascii="Garamond" w:hAnsi="Garamond"/>
          <w:szCs w:val="24"/>
          <w:lang w:val="sq-AL"/>
        </w:rPr>
        <w:t>q</w:t>
      </w:r>
      <w:r w:rsidRPr="00D93969">
        <w:rPr>
          <w:rFonts w:ascii="Garamond" w:hAnsi="Garamond"/>
          <w:szCs w:val="24"/>
          <w:lang w:val="sq-AL"/>
        </w:rPr>
        <w:t xml:space="preserve">ershor 2023 si një Komitet i përbërë nga: </w:t>
      </w:r>
    </w:p>
    <w:p w14:paraId="2E97605D" w14:textId="465E6DC9" w:rsidR="006217B5" w:rsidRPr="00D93969" w:rsidRDefault="006217B5" w:rsidP="006217B5">
      <w:pPr>
        <w:pStyle w:val="ECHRDecisionBody"/>
        <w:ind w:firstLine="284"/>
        <w:rPr>
          <w:rFonts w:ascii="Garamond" w:hAnsi="Garamond"/>
          <w:i/>
          <w:szCs w:val="24"/>
          <w:lang w:val="sq-AL"/>
        </w:rPr>
      </w:pPr>
      <w:r w:rsidRPr="00D93969">
        <w:rPr>
          <w:rFonts w:ascii="Garamond" w:hAnsi="Garamond"/>
          <w:szCs w:val="24"/>
          <w:lang w:val="sq-AL"/>
        </w:rPr>
        <w:t>- Georgios A. Serghides,</w:t>
      </w:r>
      <w:r w:rsidRPr="00D93969">
        <w:rPr>
          <w:rFonts w:ascii="Garamond" w:hAnsi="Garamond"/>
          <w:i/>
          <w:szCs w:val="24"/>
          <w:lang w:val="sq-AL"/>
        </w:rPr>
        <w:t xml:space="preserve"> </w:t>
      </w:r>
      <w:r w:rsidR="00D93969" w:rsidRPr="00D93969">
        <w:rPr>
          <w:rFonts w:ascii="Garamond" w:hAnsi="Garamond"/>
          <w:i/>
          <w:szCs w:val="24"/>
          <w:lang w:val="sq-AL"/>
        </w:rPr>
        <w:t>kryetar</w:t>
      </w:r>
      <w:r w:rsidRPr="00D93969">
        <w:rPr>
          <w:rFonts w:ascii="Garamond" w:hAnsi="Garamond"/>
          <w:i/>
          <w:szCs w:val="24"/>
          <w:lang w:val="sq-AL"/>
        </w:rPr>
        <w:t>,</w:t>
      </w:r>
    </w:p>
    <w:p w14:paraId="0058A150" w14:textId="77777777" w:rsidR="006217B5" w:rsidRPr="00D93969" w:rsidRDefault="006217B5" w:rsidP="006217B5">
      <w:pPr>
        <w:pStyle w:val="ECHRDecisionBody"/>
        <w:ind w:firstLine="284"/>
        <w:rPr>
          <w:rFonts w:ascii="Garamond" w:hAnsi="Garamond"/>
          <w:iCs/>
          <w:szCs w:val="24"/>
          <w:lang w:val="sq-AL"/>
        </w:rPr>
      </w:pPr>
      <w:r w:rsidRPr="00D93969">
        <w:rPr>
          <w:rFonts w:ascii="Garamond" w:hAnsi="Garamond"/>
          <w:i/>
          <w:szCs w:val="24"/>
          <w:lang w:val="sq-AL"/>
        </w:rPr>
        <w:t xml:space="preserve">- </w:t>
      </w:r>
      <w:r w:rsidRPr="00D93969">
        <w:rPr>
          <w:rFonts w:ascii="Garamond" w:hAnsi="Garamond"/>
          <w:iCs/>
          <w:szCs w:val="24"/>
          <w:lang w:val="sq-AL"/>
        </w:rPr>
        <w:t>Darian Pavli,</w:t>
      </w:r>
    </w:p>
    <w:p w14:paraId="63311F26" w14:textId="2FA69C5A" w:rsidR="006217B5" w:rsidRPr="00D93969" w:rsidRDefault="006217B5" w:rsidP="006217B5">
      <w:pPr>
        <w:pStyle w:val="ECHRDecisionBody"/>
        <w:ind w:firstLine="284"/>
        <w:rPr>
          <w:rFonts w:ascii="Garamond" w:hAnsi="Garamond"/>
          <w:i/>
          <w:szCs w:val="24"/>
          <w:lang w:val="sq-AL"/>
        </w:rPr>
      </w:pPr>
      <w:r w:rsidRPr="00D93969">
        <w:rPr>
          <w:rFonts w:ascii="Garamond" w:hAnsi="Garamond"/>
          <w:iCs/>
          <w:szCs w:val="24"/>
          <w:lang w:val="sq-AL"/>
        </w:rPr>
        <w:t xml:space="preserve">- Oddný Mjöll Arnardóttir, </w:t>
      </w:r>
      <w:r w:rsidR="00D93969" w:rsidRPr="00D93969">
        <w:rPr>
          <w:rFonts w:ascii="Garamond" w:hAnsi="Garamond"/>
          <w:i/>
          <w:szCs w:val="24"/>
          <w:lang w:val="sq-AL"/>
        </w:rPr>
        <w:t>gjyqtarë</w:t>
      </w:r>
      <w:r w:rsidR="00D93969">
        <w:rPr>
          <w:rFonts w:ascii="Garamond" w:hAnsi="Garamond"/>
          <w:i/>
          <w:szCs w:val="24"/>
          <w:lang w:val="sq-AL"/>
        </w:rPr>
        <w:t>,</w:t>
      </w:r>
    </w:p>
    <w:p w14:paraId="6E84F1A2" w14:textId="45CFC0D2" w:rsidR="006217B5" w:rsidRPr="00D93969" w:rsidRDefault="006217B5" w:rsidP="006217B5">
      <w:pPr>
        <w:pStyle w:val="ECHRDecisionBody"/>
        <w:ind w:firstLine="284"/>
        <w:rPr>
          <w:rFonts w:ascii="Garamond" w:hAnsi="Garamond"/>
          <w:szCs w:val="24"/>
          <w:lang w:val="sq-AL"/>
        </w:rPr>
      </w:pPr>
      <w:r w:rsidRPr="00D93969">
        <w:rPr>
          <w:rFonts w:ascii="Garamond" w:hAnsi="Garamond"/>
          <w:szCs w:val="24"/>
          <w:lang w:val="sq-AL"/>
        </w:rPr>
        <w:t xml:space="preserve">dhe Olga Chernishova, </w:t>
      </w:r>
      <w:r w:rsidR="00D93969" w:rsidRPr="00D93969">
        <w:rPr>
          <w:rFonts w:ascii="Garamond" w:hAnsi="Garamond"/>
          <w:i/>
          <w:iCs/>
          <w:szCs w:val="24"/>
          <w:lang w:val="sq-AL"/>
        </w:rPr>
        <w:t xml:space="preserve">zëvendëssekretare </w:t>
      </w:r>
      <w:r w:rsidRPr="00D93969">
        <w:rPr>
          <w:rFonts w:ascii="Garamond" w:hAnsi="Garamond"/>
          <w:i/>
          <w:iCs/>
          <w:szCs w:val="24"/>
          <w:lang w:val="sq-AL"/>
        </w:rPr>
        <w:t>e</w:t>
      </w:r>
      <w:r w:rsidRPr="00D93969">
        <w:rPr>
          <w:rFonts w:ascii="Garamond" w:hAnsi="Garamond"/>
          <w:i/>
          <w:szCs w:val="24"/>
          <w:lang w:val="sq-AL"/>
        </w:rPr>
        <w:t xml:space="preserve"> Seksionit,</w:t>
      </w:r>
    </w:p>
    <w:p w14:paraId="7D36D39A" w14:textId="77777777" w:rsidR="006217B5" w:rsidRPr="00D93969" w:rsidRDefault="006217B5" w:rsidP="006217B5">
      <w:pPr>
        <w:pStyle w:val="ECHRDecisionBody"/>
        <w:ind w:firstLine="284"/>
        <w:rPr>
          <w:rFonts w:ascii="Garamond" w:hAnsi="Garamond"/>
          <w:iCs/>
          <w:szCs w:val="24"/>
          <w:lang w:val="sq-AL"/>
        </w:rPr>
      </w:pPr>
      <w:r w:rsidRPr="00D93969">
        <w:rPr>
          <w:rFonts w:ascii="Garamond" w:hAnsi="Garamond"/>
          <w:i/>
          <w:szCs w:val="24"/>
          <w:lang w:val="sq-AL"/>
        </w:rPr>
        <w:t xml:space="preserve">- </w:t>
      </w:r>
      <w:r w:rsidRPr="00D93969">
        <w:rPr>
          <w:rFonts w:ascii="Garamond" w:hAnsi="Garamond"/>
          <w:iCs/>
          <w:szCs w:val="24"/>
          <w:lang w:val="sq-AL"/>
        </w:rPr>
        <w:t>Duke mbajtur në konsideratë:</w:t>
      </w:r>
    </w:p>
    <w:p w14:paraId="3B60AF9C" w14:textId="43337A61"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kërkesën (nr. 65320/09) kundër Republikës së Shqipërisë depozituar pranë Gjykatës</w:t>
      </w:r>
      <w:r w:rsidR="00D93969">
        <w:rPr>
          <w:rFonts w:ascii="Garamond" w:hAnsi="Garamond"/>
          <w:iCs/>
          <w:szCs w:val="24"/>
          <w:lang w:val="sq-AL"/>
        </w:rPr>
        <w:t>,</w:t>
      </w:r>
      <w:r w:rsidRPr="00D93969">
        <w:rPr>
          <w:rFonts w:ascii="Garamond" w:hAnsi="Garamond"/>
          <w:iCs/>
          <w:szCs w:val="24"/>
          <w:lang w:val="sq-AL"/>
        </w:rPr>
        <w:t xml:space="preserve"> në mbështetje të </w:t>
      </w:r>
      <w:r w:rsidR="00D93969">
        <w:rPr>
          <w:rFonts w:ascii="Garamond" w:hAnsi="Garamond"/>
          <w:iCs/>
          <w:szCs w:val="24"/>
          <w:lang w:val="sq-AL"/>
        </w:rPr>
        <w:t>n</w:t>
      </w:r>
      <w:r w:rsidRPr="00D93969">
        <w:rPr>
          <w:rFonts w:ascii="Garamond" w:hAnsi="Garamond"/>
          <w:iCs/>
          <w:szCs w:val="24"/>
          <w:lang w:val="sq-AL"/>
        </w:rPr>
        <w:t xml:space="preserve">enit 34 të Konventës për Mbrojtjen e të Drejtave të Njeriut dhe Lirive Themelore (“Konventa”) më 9 </w:t>
      </w:r>
      <w:r w:rsidR="00D93969">
        <w:rPr>
          <w:rFonts w:ascii="Garamond" w:hAnsi="Garamond"/>
          <w:iCs/>
          <w:szCs w:val="24"/>
          <w:lang w:val="sq-AL"/>
        </w:rPr>
        <w:t>d</w:t>
      </w:r>
      <w:r w:rsidRPr="00D93969">
        <w:rPr>
          <w:rFonts w:ascii="Garamond" w:hAnsi="Garamond"/>
          <w:iCs/>
          <w:szCs w:val="24"/>
          <w:lang w:val="sq-AL"/>
        </w:rPr>
        <w:t>hjetor 2009 nga “Dea 7.Co” sh</w:t>
      </w:r>
      <w:r w:rsidR="00D93969">
        <w:rPr>
          <w:rFonts w:ascii="Garamond" w:hAnsi="Garamond"/>
          <w:iCs/>
          <w:szCs w:val="24"/>
          <w:lang w:val="sq-AL"/>
        </w:rPr>
        <w:t>.</w:t>
      </w:r>
      <w:r w:rsidRPr="00D93969">
        <w:rPr>
          <w:rFonts w:ascii="Garamond" w:hAnsi="Garamond"/>
          <w:iCs/>
          <w:szCs w:val="24"/>
          <w:lang w:val="sq-AL"/>
        </w:rPr>
        <w:t>p</w:t>
      </w:r>
      <w:r w:rsidR="00D93969">
        <w:rPr>
          <w:rFonts w:ascii="Garamond" w:hAnsi="Garamond"/>
          <w:iCs/>
          <w:szCs w:val="24"/>
          <w:lang w:val="sq-AL"/>
        </w:rPr>
        <w:t>.</w:t>
      </w:r>
      <w:r w:rsidRPr="00D93969">
        <w:rPr>
          <w:rFonts w:ascii="Garamond" w:hAnsi="Garamond"/>
          <w:iCs/>
          <w:szCs w:val="24"/>
          <w:lang w:val="sq-AL"/>
        </w:rPr>
        <w:t>k</w:t>
      </w:r>
      <w:r w:rsidR="00D93969">
        <w:rPr>
          <w:rFonts w:ascii="Garamond" w:hAnsi="Garamond"/>
          <w:iCs/>
          <w:szCs w:val="24"/>
          <w:lang w:val="sq-AL"/>
        </w:rPr>
        <w:t>.</w:t>
      </w:r>
      <w:r w:rsidRPr="00D93969">
        <w:rPr>
          <w:rFonts w:ascii="Garamond" w:hAnsi="Garamond"/>
          <w:iCs/>
          <w:szCs w:val="24"/>
          <w:lang w:val="sq-AL"/>
        </w:rPr>
        <w:t xml:space="preserve">, një kompani me përgjegjësi të kufizuara e themeluar në Shqipëri (“kompania kërkuese”) dhe përfaqësuar nga </w:t>
      </w:r>
      <w:r w:rsidR="00D93969">
        <w:rPr>
          <w:rFonts w:ascii="Garamond" w:hAnsi="Garamond"/>
          <w:iCs/>
          <w:szCs w:val="24"/>
          <w:lang w:val="sq-AL"/>
        </w:rPr>
        <w:t>z</w:t>
      </w:r>
      <w:r w:rsidRPr="00D93969">
        <w:rPr>
          <w:rFonts w:ascii="Garamond" w:hAnsi="Garamond"/>
          <w:iCs/>
          <w:szCs w:val="24"/>
          <w:lang w:val="sq-AL"/>
        </w:rPr>
        <w:t>. I. Alushi, një avokat që e ushtron ligjin në Tiranë;</w:t>
      </w:r>
    </w:p>
    <w:p w14:paraId="073DC679" w14:textId="25B264FA"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 vendimin për të bërë me dije në lidhje me kërkesën </w:t>
      </w:r>
      <w:r w:rsidR="00D93969">
        <w:rPr>
          <w:rFonts w:ascii="Garamond" w:hAnsi="Garamond"/>
          <w:iCs/>
          <w:szCs w:val="24"/>
          <w:lang w:val="sq-AL"/>
        </w:rPr>
        <w:t>q</w:t>
      </w:r>
      <w:r w:rsidRPr="00D93969">
        <w:rPr>
          <w:rFonts w:ascii="Garamond" w:hAnsi="Garamond"/>
          <w:iCs/>
          <w:szCs w:val="24"/>
          <w:lang w:val="sq-AL"/>
        </w:rPr>
        <w:t xml:space="preserve">everinë shqiptare (“Qeveria), përfaqësuar nga Agjenti i saj në atë periudhë, </w:t>
      </w:r>
      <w:r w:rsidR="00D93969">
        <w:rPr>
          <w:rFonts w:ascii="Garamond" w:hAnsi="Garamond"/>
          <w:iCs/>
          <w:szCs w:val="24"/>
          <w:lang w:val="sq-AL"/>
        </w:rPr>
        <w:t>zn</w:t>
      </w:r>
      <w:r w:rsidRPr="00D93969">
        <w:rPr>
          <w:rFonts w:ascii="Garamond" w:hAnsi="Garamond"/>
          <w:iCs/>
          <w:szCs w:val="24"/>
          <w:lang w:val="sq-AL"/>
        </w:rPr>
        <w:t xml:space="preserve">j. L. Mandija, dhe në vijim nga </w:t>
      </w:r>
      <w:r w:rsidR="00D93969">
        <w:rPr>
          <w:rFonts w:ascii="Garamond" w:hAnsi="Garamond"/>
          <w:iCs/>
          <w:szCs w:val="24"/>
          <w:lang w:val="sq-AL"/>
        </w:rPr>
        <w:t>z</w:t>
      </w:r>
      <w:r w:rsidRPr="00D93969">
        <w:rPr>
          <w:rFonts w:ascii="Garamond" w:hAnsi="Garamond"/>
          <w:iCs/>
          <w:szCs w:val="24"/>
          <w:lang w:val="sq-AL"/>
        </w:rPr>
        <w:t xml:space="preserve">. O. Moçka, Avokati i Përgjithshëm i Shtetit; </w:t>
      </w:r>
    </w:p>
    <w:p w14:paraId="67F3B86B" w14:textId="579199DC" w:rsidR="006217B5" w:rsidRPr="00D93969" w:rsidRDefault="006217B5" w:rsidP="006217B5">
      <w:pPr>
        <w:pStyle w:val="ECHRDecisionBody"/>
        <w:ind w:firstLine="284"/>
        <w:rPr>
          <w:rFonts w:ascii="Garamond" w:hAnsi="Garamond"/>
          <w:iCs/>
          <w:szCs w:val="24"/>
          <w:lang w:val="sq-AL"/>
        </w:rPr>
      </w:pPr>
      <w:r w:rsidRPr="00D93969">
        <w:rPr>
          <w:rFonts w:ascii="Garamond" w:hAnsi="Garamond"/>
          <w:iCs/>
          <w:szCs w:val="24"/>
          <w:lang w:val="sq-AL"/>
        </w:rPr>
        <w:t>- Pasi diskutoi, vendos si më poshtë:</w:t>
      </w:r>
    </w:p>
    <w:p w14:paraId="0BF6BE03" w14:textId="77777777" w:rsidR="006217B5" w:rsidRPr="00D93969" w:rsidRDefault="006217B5" w:rsidP="006217B5">
      <w:pPr>
        <w:pStyle w:val="ECHRDecisionBody"/>
        <w:ind w:firstLine="284"/>
        <w:rPr>
          <w:rFonts w:ascii="Garamond" w:hAnsi="Garamond"/>
          <w:iCs/>
          <w:szCs w:val="24"/>
          <w:lang w:val="sq-AL"/>
        </w:rPr>
      </w:pPr>
      <w:r w:rsidRPr="00D93969">
        <w:rPr>
          <w:rFonts w:ascii="Garamond" w:hAnsi="Garamond"/>
          <w:iCs/>
          <w:szCs w:val="24"/>
          <w:lang w:val="sq-AL"/>
        </w:rPr>
        <w:t>LËNDA E ÇËSHTJES</w:t>
      </w:r>
    </w:p>
    <w:p w14:paraId="13E4241A" w14:textId="0DF55F5F"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 Kompania kërkuese operon në fushën e transportit të pasagjerëve. Çështja ka të bëjë me të drejtën e kompanisë kërkuese për t’iu drejtuar gjykatës në mbështetje të </w:t>
      </w:r>
      <w:r w:rsidR="00D93969">
        <w:rPr>
          <w:rFonts w:ascii="Garamond" w:hAnsi="Garamond"/>
          <w:iCs/>
          <w:szCs w:val="24"/>
          <w:lang w:val="sq-AL"/>
        </w:rPr>
        <w:t>n</w:t>
      </w:r>
      <w:r w:rsidRPr="00D93969">
        <w:rPr>
          <w:rFonts w:ascii="Garamond" w:hAnsi="Garamond"/>
          <w:iCs/>
          <w:szCs w:val="24"/>
          <w:lang w:val="sq-AL"/>
        </w:rPr>
        <w:t>enit 6 §1 të Konventës</w:t>
      </w:r>
      <w:r w:rsidR="00D93969">
        <w:rPr>
          <w:rFonts w:ascii="Garamond" w:hAnsi="Garamond"/>
          <w:iCs/>
          <w:szCs w:val="24"/>
          <w:lang w:val="sq-AL"/>
        </w:rPr>
        <w:t>,</w:t>
      </w:r>
      <w:r w:rsidRPr="00D93969">
        <w:rPr>
          <w:rFonts w:ascii="Garamond" w:hAnsi="Garamond"/>
          <w:iCs/>
          <w:szCs w:val="24"/>
          <w:lang w:val="sq-AL"/>
        </w:rPr>
        <w:t xml:space="preserve"> për të kundërshtuar një njoftim për detyrimet tatimore.</w:t>
      </w:r>
    </w:p>
    <w:p w14:paraId="3249B6F6" w14:textId="48086688"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2. Pas një inspektimi tatimor, më 3 </w:t>
      </w:r>
      <w:r w:rsidR="00D93969">
        <w:rPr>
          <w:rFonts w:ascii="Garamond" w:hAnsi="Garamond"/>
          <w:iCs/>
          <w:szCs w:val="24"/>
          <w:lang w:val="sq-AL"/>
        </w:rPr>
        <w:t>j</w:t>
      </w:r>
      <w:r w:rsidRPr="00D93969">
        <w:rPr>
          <w:rFonts w:ascii="Garamond" w:hAnsi="Garamond"/>
          <w:iCs/>
          <w:szCs w:val="24"/>
          <w:lang w:val="sq-AL"/>
        </w:rPr>
        <w:t>anar 2008, Drejtoria e Përgjithshme e Tatimeve (“DPT”) rivlerësoi përgjegjësitë tatimore të kompanisë kërkuese dhe i dërgoi një “njoftim për vlerësimin tatimor” (“njoftim-vlerësimi tatimor”). DPT</w:t>
      </w:r>
      <w:r w:rsidR="00D93969">
        <w:rPr>
          <w:rFonts w:ascii="Garamond" w:hAnsi="Garamond"/>
          <w:iCs/>
          <w:szCs w:val="24"/>
          <w:lang w:val="sq-AL"/>
        </w:rPr>
        <w:t>-ja</w:t>
      </w:r>
      <w:r w:rsidRPr="00D93969">
        <w:rPr>
          <w:rFonts w:ascii="Garamond" w:hAnsi="Garamond"/>
          <w:iCs/>
          <w:szCs w:val="24"/>
          <w:lang w:val="sq-AL"/>
        </w:rPr>
        <w:t xml:space="preserve"> e urdhëroi kompaninë kërkuese të paguante 3,828,759 lekë (rreth 31,140 euro në periudhën konkrete)</w:t>
      </w:r>
      <w:r w:rsidR="00D93969">
        <w:rPr>
          <w:rFonts w:ascii="Garamond" w:hAnsi="Garamond"/>
          <w:iCs/>
          <w:szCs w:val="24"/>
          <w:lang w:val="sq-AL"/>
        </w:rPr>
        <w:t>,</w:t>
      </w:r>
      <w:r w:rsidRPr="00D93969">
        <w:rPr>
          <w:rFonts w:ascii="Garamond" w:hAnsi="Garamond"/>
          <w:iCs/>
          <w:szCs w:val="24"/>
          <w:lang w:val="sq-AL"/>
        </w:rPr>
        <w:t xml:space="preserve"> në lidhje me detyrimet tatimore </w:t>
      </w:r>
      <w:r w:rsidR="00D93969">
        <w:rPr>
          <w:rFonts w:ascii="Garamond" w:hAnsi="Garamond"/>
          <w:iCs/>
          <w:szCs w:val="24"/>
          <w:lang w:val="sq-AL"/>
        </w:rPr>
        <w:t>të</w:t>
      </w:r>
      <w:r w:rsidRPr="00D93969">
        <w:rPr>
          <w:rFonts w:ascii="Garamond" w:hAnsi="Garamond"/>
          <w:iCs/>
          <w:szCs w:val="24"/>
          <w:lang w:val="sq-AL"/>
        </w:rPr>
        <w:t xml:space="preserve"> padeklaruara. Gjithashtu, DPT</w:t>
      </w:r>
      <w:r w:rsidR="00D93969">
        <w:rPr>
          <w:rFonts w:ascii="Garamond" w:hAnsi="Garamond"/>
          <w:iCs/>
          <w:szCs w:val="24"/>
          <w:lang w:val="sq-AL"/>
        </w:rPr>
        <w:t>-ja</w:t>
      </w:r>
      <w:r w:rsidRPr="00D93969">
        <w:rPr>
          <w:rFonts w:ascii="Garamond" w:hAnsi="Garamond"/>
          <w:iCs/>
          <w:szCs w:val="24"/>
          <w:lang w:val="sq-AL"/>
        </w:rPr>
        <w:t xml:space="preserve"> vendosi ndaj kompanisë kërkuese detyrimin për të paguar shumën prej 1,766,938 lekë (rreth 14,371 euro) për shtesat dhe penalitetet.</w:t>
      </w:r>
    </w:p>
    <w:p w14:paraId="50FCDA13" w14:textId="0552541D" w:rsidR="006217B5" w:rsidRPr="00D93969" w:rsidRDefault="006217B5" w:rsidP="006217B5">
      <w:pPr>
        <w:pStyle w:val="ECHRDecisionBody"/>
        <w:ind w:firstLine="284"/>
        <w:jc w:val="both"/>
        <w:rPr>
          <w:rFonts w:ascii="Garamond" w:hAnsi="Garamond"/>
          <w:b/>
          <w:bCs/>
          <w:iCs/>
          <w:szCs w:val="24"/>
          <w:lang w:val="sq-AL"/>
        </w:rPr>
      </w:pPr>
      <w:r w:rsidRPr="00D93969">
        <w:rPr>
          <w:rFonts w:ascii="Garamond" w:hAnsi="Garamond"/>
          <w:b/>
          <w:bCs/>
          <w:iCs/>
          <w:szCs w:val="24"/>
          <w:lang w:val="sq-AL"/>
        </w:rPr>
        <w:t>A. Procesi administrativ</w:t>
      </w:r>
    </w:p>
    <w:p w14:paraId="0F46FB86" w14:textId="120EA7D1"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3. Më 1 </w:t>
      </w:r>
      <w:r w:rsidR="00D93969">
        <w:rPr>
          <w:rFonts w:ascii="Garamond" w:hAnsi="Garamond"/>
          <w:iCs/>
          <w:szCs w:val="24"/>
          <w:lang w:val="sq-AL"/>
        </w:rPr>
        <w:t>s</w:t>
      </w:r>
      <w:r w:rsidRPr="00D93969">
        <w:rPr>
          <w:rFonts w:ascii="Garamond" w:hAnsi="Garamond"/>
          <w:iCs/>
          <w:szCs w:val="24"/>
          <w:lang w:val="sq-AL"/>
        </w:rPr>
        <w:t xml:space="preserve">hkurt 2008, kompania kërkuese apeloi njoftimin e vlerësimit tatimor pranë Drejtorisë së Apelimit Tatimor, e cila, më 3 </w:t>
      </w:r>
      <w:r w:rsidR="00D93969">
        <w:rPr>
          <w:rFonts w:ascii="Garamond" w:hAnsi="Garamond"/>
          <w:iCs/>
          <w:szCs w:val="24"/>
          <w:lang w:val="sq-AL"/>
        </w:rPr>
        <w:t>m</w:t>
      </w:r>
      <w:r w:rsidRPr="00D93969">
        <w:rPr>
          <w:rFonts w:ascii="Garamond" w:hAnsi="Garamond"/>
          <w:iCs/>
          <w:szCs w:val="24"/>
          <w:lang w:val="sq-AL"/>
        </w:rPr>
        <w:t xml:space="preserve">ars 2008, e deklaroi apelimin të papranueshëm, pa i shqyrtuar meritat e tij. Ajo gjykonte se kompania kërkuese nuk kishte respektuar </w:t>
      </w:r>
      <w:r w:rsidR="00D93969" w:rsidRPr="00D93969">
        <w:rPr>
          <w:rFonts w:ascii="Garamond" w:hAnsi="Garamond"/>
          <w:iCs/>
          <w:szCs w:val="24"/>
          <w:lang w:val="sq-AL"/>
        </w:rPr>
        <w:t>nenin 43 të ligjit për procedurat tatimo</w:t>
      </w:r>
      <w:r w:rsidRPr="00D93969">
        <w:rPr>
          <w:rFonts w:ascii="Garamond" w:hAnsi="Garamond"/>
          <w:iCs/>
          <w:szCs w:val="24"/>
          <w:lang w:val="sq-AL"/>
        </w:rPr>
        <w:t>re (</w:t>
      </w:r>
      <w:r w:rsidR="00D93969" w:rsidRPr="00D93969">
        <w:rPr>
          <w:rFonts w:ascii="Garamond" w:hAnsi="Garamond"/>
          <w:iCs/>
          <w:szCs w:val="24"/>
          <w:lang w:val="sq-AL"/>
        </w:rPr>
        <w:t>ligji nr. 8560</w:t>
      </w:r>
      <w:r w:rsidR="00D93969">
        <w:rPr>
          <w:rFonts w:ascii="Garamond" w:hAnsi="Garamond"/>
          <w:iCs/>
          <w:szCs w:val="24"/>
          <w:lang w:val="sq-AL"/>
        </w:rPr>
        <w:t>,</w:t>
      </w:r>
      <w:r w:rsidR="00D93969" w:rsidRPr="00D93969">
        <w:rPr>
          <w:rFonts w:ascii="Garamond" w:hAnsi="Garamond"/>
          <w:iCs/>
          <w:szCs w:val="24"/>
          <w:lang w:val="sq-AL"/>
        </w:rPr>
        <w:t xml:space="preserve"> i datës 22 dhjetor </w:t>
      </w:r>
      <w:r w:rsidRPr="00D93969">
        <w:rPr>
          <w:rFonts w:ascii="Garamond" w:hAnsi="Garamond"/>
          <w:iCs/>
          <w:szCs w:val="24"/>
          <w:lang w:val="sq-AL"/>
        </w:rPr>
        <w:t>1999, i ndryshuar) sipas së cilit, përpara se të apelojë një detyrim tatimor, një tatimpagues duhet të paguajë principalin e shumës së kontestuar.</w:t>
      </w:r>
    </w:p>
    <w:p w14:paraId="312BF762" w14:textId="33C2C873"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4. Pas apelimit të kompanisë kërkuese pranë organit administrativ të nivelit të dytë, më konkretisht Komisioni i Apelimit Tatimor, më 23 </w:t>
      </w:r>
      <w:r w:rsidR="00D93969">
        <w:rPr>
          <w:rFonts w:ascii="Garamond" w:hAnsi="Garamond"/>
          <w:iCs/>
          <w:szCs w:val="24"/>
          <w:lang w:val="sq-AL"/>
        </w:rPr>
        <w:t>p</w:t>
      </w:r>
      <w:r w:rsidRPr="00D93969">
        <w:rPr>
          <w:rFonts w:ascii="Garamond" w:hAnsi="Garamond"/>
          <w:iCs/>
          <w:szCs w:val="24"/>
          <w:lang w:val="sq-AL"/>
        </w:rPr>
        <w:t>rill 2008, organi refuzoi të shqyrtonte meritat e apelimit mbështetur në të njëjtat arsye.</w:t>
      </w:r>
    </w:p>
    <w:p w14:paraId="7EBE2AD0" w14:textId="77777777" w:rsidR="006217B5" w:rsidRPr="00D93969" w:rsidRDefault="006217B5" w:rsidP="006217B5">
      <w:pPr>
        <w:pStyle w:val="ECHRDecisionBody"/>
        <w:ind w:firstLine="284"/>
        <w:jc w:val="both"/>
        <w:rPr>
          <w:rFonts w:ascii="Garamond" w:hAnsi="Garamond"/>
          <w:b/>
          <w:bCs/>
          <w:iCs/>
          <w:szCs w:val="24"/>
          <w:lang w:val="sq-AL"/>
        </w:rPr>
      </w:pPr>
      <w:r w:rsidRPr="00D93969">
        <w:rPr>
          <w:rFonts w:ascii="Garamond" w:hAnsi="Garamond"/>
          <w:b/>
          <w:bCs/>
          <w:iCs/>
          <w:szCs w:val="24"/>
          <w:lang w:val="sq-AL"/>
        </w:rPr>
        <w:t>B. Procesi gjyqësor</w:t>
      </w:r>
    </w:p>
    <w:p w14:paraId="607D60F3" w14:textId="15376E8A"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5. Më 21 </w:t>
      </w:r>
      <w:r w:rsidR="00D93969">
        <w:rPr>
          <w:rFonts w:ascii="Garamond" w:hAnsi="Garamond"/>
          <w:iCs/>
          <w:szCs w:val="24"/>
          <w:lang w:val="sq-AL"/>
        </w:rPr>
        <w:t>m</w:t>
      </w:r>
      <w:r w:rsidRPr="00D93969">
        <w:rPr>
          <w:rFonts w:ascii="Garamond" w:hAnsi="Garamond"/>
          <w:iCs/>
          <w:szCs w:val="24"/>
          <w:lang w:val="sq-AL"/>
        </w:rPr>
        <w:t xml:space="preserve">aj 2008, kompania kërkuese ndërmori një akt ligjor pranë Gjykatës së Rrethit Mat ndaj zyrës rajonale të tatimeve. Ajo kundërshtonte njoftimin për vlerësimin tatimor dhe vendimet </w:t>
      </w:r>
      <w:r w:rsidRPr="00D93969">
        <w:rPr>
          <w:rFonts w:ascii="Garamond" w:hAnsi="Garamond"/>
          <w:iCs/>
          <w:szCs w:val="24"/>
          <w:lang w:val="sq-AL"/>
        </w:rPr>
        <w:lastRenderedPageBreak/>
        <w:t xml:space="preserve">administrative që kishin rrëzuar apelimet e saj. Ajo argumentonte se njoftimi tatimor ishte në kundërshtim me legjislacionin e zbatueshëm tatimor. </w:t>
      </w:r>
    </w:p>
    <w:p w14:paraId="44FD3FFD" w14:textId="4C1F9E3D"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6. Më 17 </w:t>
      </w:r>
      <w:r w:rsidR="00D93969">
        <w:rPr>
          <w:rFonts w:ascii="Garamond" w:hAnsi="Garamond"/>
          <w:iCs/>
          <w:szCs w:val="24"/>
          <w:lang w:val="sq-AL"/>
        </w:rPr>
        <w:t>k</w:t>
      </w:r>
      <w:r w:rsidRPr="00D93969">
        <w:rPr>
          <w:rFonts w:ascii="Garamond" w:hAnsi="Garamond"/>
          <w:iCs/>
          <w:szCs w:val="24"/>
          <w:lang w:val="sq-AL"/>
        </w:rPr>
        <w:t>orrik 2008, Gjykata e Rrethit Mat e ndërpreu procedurën për shkak të mosshfrytëzimit të mjeteve administrative. Ajo gjykonte se kompania kërkuese nuk kishte përmbushur detyrimin për të parapaguar shumat e tatimeve të kontestuara përpara se t’i kundërshtonte ato, dhe për pasojë, organet administrative të shkallës së parë dhe të dytë nuk kishin shqyrtuar meritat e apelimit të saj.</w:t>
      </w:r>
    </w:p>
    <w:p w14:paraId="428CB476" w14:textId="442C55D0"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7. Më 21 </w:t>
      </w:r>
      <w:r w:rsidR="00D93969">
        <w:rPr>
          <w:rFonts w:ascii="Garamond" w:hAnsi="Garamond"/>
          <w:iCs/>
          <w:szCs w:val="24"/>
          <w:lang w:val="sq-AL"/>
        </w:rPr>
        <w:t>k</w:t>
      </w:r>
      <w:r w:rsidRPr="00D93969">
        <w:rPr>
          <w:rFonts w:ascii="Garamond" w:hAnsi="Garamond"/>
          <w:iCs/>
          <w:szCs w:val="24"/>
          <w:lang w:val="sq-AL"/>
        </w:rPr>
        <w:t>orrik 2008, kompania kërkuese depozitoi një apelim për disa pika të ligjit pranë Gjykatës së Lartë. Ajo parashtronte se e kishte kundërshtuar rivlerësimin tatimor në kohën e duhur përpara organeve administrativ</w:t>
      </w:r>
      <w:r w:rsidR="00D93969">
        <w:rPr>
          <w:rFonts w:ascii="Garamond" w:hAnsi="Garamond"/>
          <w:iCs/>
          <w:szCs w:val="24"/>
          <w:lang w:val="sq-AL"/>
        </w:rPr>
        <w:t>e</w:t>
      </w:r>
      <w:r w:rsidRPr="00D93969">
        <w:rPr>
          <w:rFonts w:ascii="Garamond" w:hAnsi="Garamond"/>
          <w:iCs/>
          <w:szCs w:val="24"/>
          <w:lang w:val="sq-AL"/>
        </w:rPr>
        <w:t>. Gjithashtu, ajo argumentonte se ajo nuk ishte një “tatimpagues</w:t>
      </w:r>
      <w:r w:rsidR="00614915">
        <w:rPr>
          <w:rFonts w:ascii="Garamond" w:hAnsi="Garamond"/>
          <w:iCs/>
          <w:szCs w:val="24"/>
          <w:lang w:val="sq-AL"/>
        </w:rPr>
        <w:t>e</w:t>
      </w:r>
      <w:r w:rsidRPr="00D93969">
        <w:rPr>
          <w:rFonts w:ascii="Garamond" w:hAnsi="Garamond"/>
          <w:iCs/>
          <w:szCs w:val="24"/>
          <w:lang w:val="sq-AL"/>
        </w:rPr>
        <w:t xml:space="preserve">” sipas interpretimit të legjislacionit të zbatueshëm për tatimet, për këtë arsye, nuk </w:t>
      </w:r>
      <w:r w:rsidR="002254C0">
        <w:rPr>
          <w:rFonts w:ascii="Garamond" w:hAnsi="Garamond"/>
          <w:iCs/>
          <w:szCs w:val="24"/>
          <w:lang w:val="sq-AL"/>
        </w:rPr>
        <w:t>k</w:t>
      </w:r>
      <w:r w:rsidRPr="002254C0">
        <w:rPr>
          <w:rFonts w:ascii="Garamond" w:hAnsi="Garamond"/>
          <w:iCs/>
          <w:szCs w:val="24"/>
          <w:lang w:val="sq-AL"/>
        </w:rPr>
        <w:t>ishte</w:t>
      </w:r>
      <w:r w:rsidRPr="00D93969">
        <w:rPr>
          <w:rFonts w:ascii="Garamond" w:hAnsi="Garamond"/>
          <w:iCs/>
          <w:szCs w:val="24"/>
          <w:lang w:val="sq-AL"/>
        </w:rPr>
        <w:t xml:space="preserve"> detyrimin për të paguar shumat e vendosura nga administrata e tatimeve. </w:t>
      </w:r>
    </w:p>
    <w:p w14:paraId="2AF3EDC2" w14:textId="1D538EE5"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8. Më 2 </w:t>
      </w:r>
      <w:r w:rsidR="00D93969">
        <w:rPr>
          <w:rFonts w:ascii="Garamond" w:hAnsi="Garamond"/>
          <w:iCs/>
          <w:szCs w:val="24"/>
          <w:lang w:val="sq-AL"/>
        </w:rPr>
        <w:t>t</w:t>
      </w:r>
      <w:r w:rsidRPr="00D93969">
        <w:rPr>
          <w:rFonts w:ascii="Garamond" w:hAnsi="Garamond"/>
          <w:iCs/>
          <w:szCs w:val="24"/>
          <w:lang w:val="sq-AL"/>
        </w:rPr>
        <w:t>etor 2008, Gjykata e Lartë e kundërshtoi apelimin dhe la në fuqi arsyetimin e gjykatës së shkallës së parë.</w:t>
      </w:r>
    </w:p>
    <w:p w14:paraId="6AF4EB9D" w14:textId="225F7476"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9. Më 2 </w:t>
      </w:r>
      <w:r w:rsidR="00D93969">
        <w:rPr>
          <w:rFonts w:ascii="Garamond" w:hAnsi="Garamond"/>
          <w:iCs/>
          <w:szCs w:val="24"/>
          <w:lang w:val="sq-AL"/>
        </w:rPr>
        <w:t>p</w:t>
      </w:r>
      <w:r w:rsidRPr="00D93969">
        <w:rPr>
          <w:rFonts w:ascii="Garamond" w:hAnsi="Garamond"/>
          <w:iCs/>
          <w:szCs w:val="24"/>
          <w:lang w:val="sq-AL"/>
        </w:rPr>
        <w:t xml:space="preserve">rill 2009, kompania kërkuese depozitoi një apelim kushtetues ku përsëriste argumentet e saj të mëparshëm (shih paragrafin 7 më sipër). </w:t>
      </w:r>
    </w:p>
    <w:p w14:paraId="50FFD275" w14:textId="300E4A5B"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10. Më 5 </w:t>
      </w:r>
      <w:r w:rsidR="00D93969">
        <w:rPr>
          <w:rFonts w:ascii="Garamond" w:hAnsi="Garamond"/>
          <w:iCs/>
          <w:szCs w:val="24"/>
          <w:lang w:val="sq-AL"/>
        </w:rPr>
        <w:t>k</w:t>
      </w:r>
      <w:r w:rsidRPr="00D93969">
        <w:rPr>
          <w:rFonts w:ascii="Garamond" w:hAnsi="Garamond"/>
          <w:iCs/>
          <w:szCs w:val="24"/>
          <w:lang w:val="sq-AL"/>
        </w:rPr>
        <w:t>orrik 2009, Gjykata Kushtetuese e deklaroi apelimin të papranueshëm pasi ai ngrinte çështje që kishin të bënin me interpretimin e ligjit dhe vlerësimin e provave, të cilat ajo i konsideronte jashtë fushës së juridiksionit të saj.</w:t>
      </w:r>
    </w:p>
    <w:p w14:paraId="0139A60E" w14:textId="3CBA9B22"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11. Përpara Gjykatës, kompania kërkuese u ankua</w:t>
      </w:r>
      <w:r w:rsidR="00D93969">
        <w:rPr>
          <w:rFonts w:ascii="Garamond" w:hAnsi="Garamond"/>
          <w:iCs/>
          <w:szCs w:val="24"/>
          <w:lang w:val="sq-AL"/>
        </w:rPr>
        <w:t>,</w:t>
      </w:r>
      <w:r w:rsidRPr="00D93969">
        <w:rPr>
          <w:rFonts w:ascii="Garamond" w:hAnsi="Garamond"/>
          <w:iCs/>
          <w:szCs w:val="24"/>
          <w:lang w:val="sq-AL"/>
        </w:rPr>
        <w:t xml:space="preserve"> në mbështetje të </w:t>
      </w:r>
      <w:r w:rsidR="00D93969">
        <w:rPr>
          <w:rFonts w:ascii="Garamond" w:hAnsi="Garamond"/>
          <w:iCs/>
          <w:szCs w:val="24"/>
          <w:lang w:val="sq-AL"/>
        </w:rPr>
        <w:t>n</w:t>
      </w:r>
      <w:r w:rsidRPr="00D93969">
        <w:rPr>
          <w:rFonts w:ascii="Garamond" w:hAnsi="Garamond"/>
          <w:iCs/>
          <w:szCs w:val="24"/>
          <w:lang w:val="sq-AL"/>
        </w:rPr>
        <w:t>enit 6 §1 të Konventës</w:t>
      </w:r>
      <w:r w:rsidR="00D93969">
        <w:rPr>
          <w:rFonts w:ascii="Garamond" w:hAnsi="Garamond"/>
          <w:iCs/>
          <w:szCs w:val="24"/>
          <w:lang w:val="sq-AL"/>
        </w:rPr>
        <w:t>,</w:t>
      </w:r>
      <w:r w:rsidRPr="00D93969">
        <w:rPr>
          <w:rFonts w:ascii="Garamond" w:hAnsi="Garamond"/>
          <w:iCs/>
          <w:szCs w:val="24"/>
          <w:lang w:val="sq-AL"/>
        </w:rPr>
        <w:t xml:space="preserve"> për mohimin e të drejtës për t’iu drejtuar gjykatës për të apeluar detyrimet e saj tatimore. Sipas </w:t>
      </w:r>
      <w:r w:rsidR="00D93969">
        <w:rPr>
          <w:rFonts w:ascii="Garamond" w:hAnsi="Garamond"/>
          <w:iCs/>
          <w:szCs w:val="24"/>
          <w:lang w:val="sq-AL"/>
        </w:rPr>
        <w:t>n</w:t>
      </w:r>
      <w:r w:rsidRPr="00D93969">
        <w:rPr>
          <w:rFonts w:ascii="Garamond" w:hAnsi="Garamond"/>
          <w:iCs/>
          <w:szCs w:val="24"/>
          <w:lang w:val="sq-AL"/>
        </w:rPr>
        <w:t xml:space="preserve">enit 1 të </w:t>
      </w:r>
      <w:r w:rsidR="00D93969" w:rsidRPr="00D93969">
        <w:rPr>
          <w:rFonts w:ascii="Garamond" w:hAnsi="Garamond"/>
          <w:iCs/>
          <w:szCs w:val="24"/>
          <w:lang w:val="sq-AL"/>
        </w:rPr>
        <w:t>protokollit n</w:t>
      </w:r>
      <w:r w:rsidRPr="00D93969">
        <w:rPr>
          <w:rFonts w:ascii="Garamond" w:hAnsi="Garamond"/>
          <w:iCs/>
          <w:szCs w:val="24"/>
          <w:lang w:val="sq-AL"/>
        </w:rPr>
        <w:t>r. 1 të Konventës, kompania kërkuese u ankua gjithashtu se vlerësimi tatimor kishte vendosur një barrë të tepërt për gëzimin e paqtë të pronës së saj.</w:t>
      </w:r>
    </w:p>
    <w:p w14:paraId="1BA40882" w14:textId="77777777"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VLERËSIMI I GJYKATËS </w:t>
      </w:r>
    </w:p>
    <w:p w14:paraId="7EE71726" w14:textId="5DDE478F" w:rsidR="006217B5" w:rsidRPr="00D93969" w:rsidRDefault="006217B5" w:rsidP="006217B5">
      <w:pPr>
        <w:pStyle w:val="ECHRDecisionBody"/>
        <w:ind w:firstLine="284"/>
        <w:jc w:val="both"/>
        <w:rPr>
          <w:rFonts w:ascii="Garamond" w:hAnsi="Garamond"/>
          <w:b/>
          <w:bCs/>
          <w:iCs/>
          <w:szCs w:val="24"/>
          <w:lang w:val="sq-AL"/>
        </w:rPr>
      </w:pPr>
      <w:r w:rsidRPr="00D93969">
        <w:rPr>
          <w:rFonts w:ascii="Garamond" w:hAnsi="Garamond"/>
          <w:b/>
          <w:bCs/>
          <w:iCs/>
          <w:szCs w:val="24"/>
          <w:lang w:val="sq-AL"/>
        </w:rPr>
        <w:t>A. Neni 6 §1 i Konventës</w:t>
      </w:r>
    </w:p>
    <w:p w14:paraId="027013CB" w14:textId="5CBA4E96"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12. Çështjet tatimore, si ato që janë përpara Gjykatës, janë pjesa kryesore përbërëse e prerogativave të autoritetit publik, ku natyra publike e marrëdhënies midis tatimpaguesit dhe komunitetit mbetet mbizotëruese, pavarësisht efekteve pasurore që pasjellin mosmarrëveshjet tatimore për tatimpaguesin. Rezulton se </w:t>
      </w:r>
      <w:r w:rsidR="00D93969">
        <w:rPr>
          <w:rFonts w:ascii="Garamond" w:hAnsi="Garamond"/>
          <w:iCs/>
          <w:szCs w:val="24"/>
          <w:lang w:val="sq-AL"/>
        </w:rPr>
        <w:t>n</w:t>
      </w:r>
      <w:r w:rsidRPr="00D93969">
        <w:rPr>
          <w:rFonts w:ascii="Garamond" w:hAnsi="Garamond"/>
          <w:iCs/>
          <w:szCs w:val="24"/>
          <w:lang w:val="sq-AL"/>
        </w:rPr>
        <w:t xml:space="preserve">eni 6 §1 i Konventës nuk është i zbatueshëm sipas aspektit të tij civil (shih së fundmi, </w:t>
      </w:r>
      <w:r w:rsidRPr="00D93969">
        <w:rPr>
          <w:rFonts w:ascii="Garamond" w:hAnsi="Garamond"/>
          <w:i/>
          <w:szCs w:val="24"/>
          <w:lang w:val="sq-AL"/>
        </w:rPr>
        <w:t>Vegotex International S.A. kundër Belgjikës</w:t>
      </w:r>
      <w:r w:rsidRPr="00D93969">
        <w:rPr>
          <w:rFonts w:ascii="Garamond" w:hAnsi="Garamond"/>
          <w:iCs/>
          <w:szCs w:val="24"/>
          <w:lang w:val="sq-AL"/>
        </w:rPr>
        <w:t xml:space="preserve"> ([DHM]), nr. 49812/09, §66, 3 </w:t>
      </w:r>
      <w:r w:rsidR="00D93969">
        <w:rPr>
          <w:rFonts w:ascii="Garamond" w:hAnsi="Garamond"/>
          <w:iCs/>
          <w:szCs w:val="24"/>
          <w:lang w:val="sq-AL"/>
        </w:rPr>
        <w:t>n</w:t>
      </w:r>
      <w:r w:rsidRPr="00D93969">
        <w:rPr>
          <w:rFonts w:ascii="Garamond" w:hAnsi="Garamond"/>
          <w:iCs/>
          <w:szCs w:val="24"/>
          <w:lang w:val="sq-AL"/>
        </w:rPr>
        <w:t>ëntor 2022).</w:t>
      </w:r>
    </w:p>
    <w:p w14:paraId="20B3FBBC" w14:textId="57B0B9EC"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13. Megjithatë, aspekti penal i </w:t>
      </w:r>
      <w:r w:rsidR="00D93969">
        <w:rPr>
          <w:rFonts w:ascii="Garamond" w:hAnsi="Garamond"/>
          <w:iCs/>
          <w:szCs w:val="24"/>
          <w:lang w:val="sq-AL"/>
        </w:rPr>
        <w:t>n</w:t>
      </w:r>
      <w:r w:rsidRPr="00D93969">
        <w:rPr>
          <w:rFonts w:ascii="Garamond" w:hAnsi="Garamond"/>
          <w:iCs/>
          <w:szCs w:val="24"/>
          <w:lang w:val="sq-AL"/>
        </w:rPr>
        <w:t xml:space="preserve">enit 6 §1 është zbatuar për shtesat tatimore të cilat nuk janë parashikuar si kompensim pasuror për dëmin, por si masë për </w:t>
      </w:r>
      <w:r w:rsidR="00D93969">
        <w:rPr>
          <w:rFonts w:ascii="Garamond" w:hAnsi="Garamond"/>
          <w:iCs/>
          <w:szCs w:val="24"/>
          <w:lang w:val="sq-AL"/>
        </w:rPr>
        <w:t xml:space="preserve">të </w:t>
      </w:r>
      <w:r w:rsidRPr="00D93969">
        <w:rPr>
          <w:rFonts w:ascii="Garamond" w:hAnsi="Garamond"/>
          <w:iCs/>
          <w:szCs w:val="24"/>
          <w:lang w:val="sq-AL"/>
        </w:rPr>
        <w:t>parandaluar përsëritjen e shkeljes (</w:t>
      </w:r>
      <w:r w:rsidRPr="00D93969">
        <w:rPr>
          <w:rFonts w:ascii="Garamond" w:hAnsi="Garamond"/>
          <w:i/>
          <w:szCs w:val="24"/>
          <w:lang w:val="sq-AL"/>
        </w:rPr>
        <w:t>Jussila kundër Finlandës</w:t>
      </w:r>
      <w:r w:rsidRPr="00D93969">
        <w:rPr>
          <w:rFonts w:ascii="Garamond" w:hAnsi="Garamond"/>
          <w:iCs/>
          <w:szCs w:val="24"/>
          <w:lang w:val="sq-AL"/>
        </w:rPr>
        <w:t xml:space="preserve"> [DHM], nr. 73053/01, § 38, GJEDNJ 2006-XIV).</w:t>
      </w:r>
    </w:p>
    <w:p w14:paraId="33CD1C7D" w14:textId="31D96801"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14. Në çështjen konkrete, përveç detyrimeve tatimore të rivlerësuara, autoritetet vendosën ndaj kërkuesit një sërë shtesash dhe penalitetesh (shih paragrafin 2 më sipër), të cilat </w:t>
      </w:r>
      <w:r w:rsidRPr="00D93969">
        <w:rPr>
          <w:rFonts w:ascii="Garamond" w:hAnsi="Garamond"/>
          <w:i/>
          <w:szCs w:val="24"/>
          <w:lang w:val="sq-AL"/>
        </w:rPr>
        <w:t>prima facie</w:t>
      </w:r>
      <w:r w:rsidRPr="00D93969">
        <w:rPr>
          <w:rFonts w:ascii="Garamond" w:hAnsi="Garamond"/>
          <w:iCs/>
          <w:szCs w:val="24"/>
          <w:lang w:val="sq-AL"/>
        </w:rPr>
        <w:t xml:space="preserve"> rezultojnë të kenë një natyrë ndëshkuese. Megjithatë, nuk është e nevojshme të shqyrtohet në detaje kuadri ligjor dhe natyra e atyre shtesave dhe penaliteteve, pasi në çdo rast, ankesa e kërkuesit është e papranueshme për arsyet e paraqitura më poshtë.</w:t>
      </w:r>
    </w:p>
    <w:p w14:paraId="5ECAB2F0" w14:textId="4439161A"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15. E drejta për t’iu drejtuar gjykatës nuk është absolute. Ajo mund të jetë objekt kufizimesh lejuar sipas interpretimit, veçanërisht në lidhje me kushtet e pranueshmërisë së një apelimi. Megjithatë, këto kufizime nuk duhet të kufizojnë ushtrimin e së drejtës në mënyrë të tillë, apo në masë të tillë, që të cenohet thelbi i së drejtës. Ato duhet të ndjekin një qëllim legjitim dhe duhet të ekzistojë një proporcionalitet i arsyeshëm midis mjeteve të zbatuara dhe qëllimit që synohet të arrihet (shih </w:t>
      </w:r>
      <w:r w:rsidRPr="00D93969">
        <w:rPr>
          <w:rFonts w:ascii="Garamond" w:hAnsi="Garamond"/>
          <w:i/>
          <w:szCs w:val="24"/>
          <w:lang w:val="sq-AL"/>
        </w:rPr>
        <w:t>Omar kundër Francës</w:t>
      </w:r>
      <w:r w:rsidRPr="00D93969">
        <w:rPr>
          <w:rFonts w:ascii="Garamond" w:hAnsi="Garamond"/>
          <w:iCs/>
          <w:szCs w:val="24"/>
          <w:lang w:val="sq-AL"/>
        </w:rPr>
        <w:t xml:space="preserve"> ([DHM] nr. 24767/94, § 34, 29 </w:t>
      </w:r>
      <w:r w:rsidR="00D93969">
        <w:rPr>
          <w:rFonts w:ascii="Garamond" w:hAnsi="Garamond"/>
          <w:iCs/>
          <w:szCs w:val="24"/>
          <w:lang w:val="sq-AL"/>
        </w:rPr>
        <w:t>k</w:t>
      </w:r>
      <w:r w:rsidRPr="00D93969">
        <w:rPr>
          <w:rFonts w:ascii="Garamond" w:hAnsi="Garamond"/>
          <w:iCs/>
          <w:szCs w:val="24"/>
          <w:lang w:val="sq-AL"/>
        </w:rPr>
        <w:t xml:space="preserve">orrik 1998). </w:t>
      </w:r>
    </w:p>
    <w:p w14:paraId="213F7EA0" w14:textId="65F0E79A"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16. Në çështjen konkrete, kufizimi ndaj së drejtës </w:t>
      </w:r>
      <w:r w:rsidR="00D93969">
        <w:rPr>
          <w:rFonts w:ascii="Garamond" w:hAnsi="Garamond"/>
          <w:iCs/>
          <w:szCs w:val="24"/>
          <w:lang w:val="sq-AL"/>
        </w:rPr>
        <w:t>s</w:t>
      </w:r>
      <w:r w:rsidRPr="00D93969">
        <w:rPr>
          <w:rFonts w:ascii="Garamond" w:hAnsi="Garamond"/>
          <w:iCs/>
          <w:szCs w:val="24"/>
          <w:lang w:val="sq-AL"/>
        </w:rPr>
        <w:t xml:space="preserve">ë kompanisë kërkuese për t’iu drejtuar gjykatës rridhte prej kërkesës për të parapaguar shumën kryesore të borxhit tatimor të rivlerësuar përpara se të kundërshtohej rivlerësimi i borxhit. Kompania kërkuese nuk kundërshtoi – dhe Gjykata nuk ka arsye të gjykojë – në lidhje me aspektin se kërkesa nuk ndiqte një qëllim legjitim (krahaso me arsyetimin në </w:t>
      </w:r>
      <w:r w:rsidRPr="00D93969">
        <w:rPr>
          <w:rFonts w:ascii="Garamond" w:hAnsi="Garamond"/>
          <w:i/>
          <w:szCs w:val="24"/>
          <w:lang w:val="sq-AL"/>
        </w:rPr>
        <w:lastRenderedPageBreak/>
        <w:t xml:space="preserve">Leduc kundër Francës, </w:t>
      </w:r>
      <w:r w:rsidRPr="00D93969">
        <w:rPr>
          <w:rFonts w:ascii="Garamond" w:hAnsi="Garamond"/>
          <w:iCs/>
          <w:szCs w:val="24"/>
          <w:lang w:val="sq-AL"/>
        </w:rPr>
        <w:t xml:space="preserve">(vendim) [Komiteti], nr. 16382/16, § 28, 17 </w:t>
      </w:r>
      <w:r w:rsidR="00D93969">
        <w:rPr>
          <w:rFonts w:ascii="Garamond" w:hAnsi="Garamond"/>
          <w:iCs/>
          <w:szCs w:val="24"/>
          <w:lang w:val="sq-AL"/>
        </w:rPr>
        <w:t>t</w:t>
      </w:r>
      <w:r w:rsidRPr="00D93969">
        <w:rPr>
          <w:rFonts w:ascii="Garamond" w:hAnsi="Garamond"/>
          <w:iCs/>
          <w:szCs w:val="24"/>
          <w:lang w:val="sq-AL"/>
        </w:rPr>
        <w:t>etor 2017, dhe vendimet e cituar</w:t>
      </w:r>
      <w:r w:rsidR="00D93969">
        <w:rPr>
          <w:rFonts w:ascii="Garamond" w:hAnsi="Garamond"/>
          <w:iCs/>
          <w:szCs w:val="24"/>
          <w:lang w:val="sq-AL"/>
        </w:rPr>
        <w:t>a</w:t>
      </w:r>
      <w:r w:rsidRPr="00D93969">
        <w:rPr>
          <w:rFonts w:ascii="Garamond" w:hAnsi="Garamond"/>
          <w:iCs/>
          <w:szCs w:val="24"/>
          <w:lang w:val="sq-AL"/>
        </w:rPr>
        <w:t xml:space="preserve"> në të).</w:t>
      </w:r>
    </w:p>
    <w:p w14:paraId="1BE98702" w14:textId="29F5433B"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17. Në lidhje me proporcionalitetin, në parashtrimet e saj përpara gjykatave vendase dhe Gjykatës, kompania kërkuese u mbështet vetëm në argumentin se, sipas ligjit vendas, nuk i kërkohej të paguante detyrimet tatimore të rivlerësuara. Megjithatë, kompania kërkuese nuk ishte ankuar përpara autoriteteve vendase se shuma që i kërkohej të parapaguante ishte e tepërt ose se ajo shumë vendoste një barrierë të paarsyeshme dhe ndaluese për të ushtruar të drejtën e saj për t’iu drejtuar gjykatës. Me fjalë të tjera, ajo u ankua për detyrimin për të paguar sipas ligjit vendas dhe jo për pamundësinë e saj për të respektuar atë detyrim (shih, për një situatë të ngjashme, </w:t>
      </w:r>
      <w:r w:rsidRPr="00D93969">
        <w:rPr>
          <w:rFonts w:ascii="Garamond" w:hAnsi="Garamond"/>
          <w:i/>
          <w:szCs w:val="24"/>
          <w:lang w:val="sq-AL"/>
        </w:rPr>
        <w:t xml:space="preserve">Tcaciuc dhe të Tjerë kundër Rumanisë </w:t>
      </w:r>
      <w:r w:rsidRPr="00D93969">
        <w:rPr>
          <w:rFonts w:ascii="Garamond" w:hAnsi="Garamond"/>
          <w:iCs/>
          <w:szCs w:val="24"/>
          <w:lang w:val="sq-AL"/>
        </w:rPr>
        <w:t xml:space="preserve">(vendim) [Komiteti], nr. 43695/05 dhe 5 të tjerë, §28, 4 </w:t>
      </w:r>
      <w:r w:rsidR="00D93969">
        <w:rPr>
          <w:rFonts w:ascii="Garamond" w:hAnsi="Garamond"/>
          <w:iCs/>
          <w:szCs w:val="24"/>
          <w:lang w:val="sq-AL"/>
        </w:rPr>
        <w:t>s</w:t>
      </w:r>
      <w:r w:rsidRPr="00D93969">
        <w:rPr>
          <w:rFonts w:ascii="Garamond" w:hAnsi="Garamond"/>
          <w:iCs/>
          <w:szCs w:val="24"/>
          <w:lang w:val="sq-AL"/>
        </w:rPr>
        <w:t xml:space="preserve">htator 2018, me referenca të tjera; dhe krahaso me </w:t>
      </w:r>
      <w:r w:rsidRPr="00D93969">
        <w:rPr>
          <w:rFonts w:ascii="Garamond" w:hAnsi="Garamond"/>
          <w:i/>
          <w:szCs w:val="24"/>
          <w:lang w:val="sq-AL"/>
        </w:rPr>
        <w:t>Loncke kundër Belgjikës</w:t>
      </w:r>
      <w:r w:rsidRPr="00D93969">
        <w:rPr>
          <w:rFonts w:ascii="Garamond" w:hAnsi="Garamond"/>
          <w:iCs/>
          <w:szCs w:val="24"/>
          <w:lang w:val="sq-AL"/>
        </w:rPr>
        <w:t xml:space="preserve">, nr. 20656/03, § 51, 25 </w:t>
      </w:r>
      <w:r w:rsidR="00D93969">
        <w:rPr>
          <w:rFonts w:ascii="Garamond" w:hAnsi="Garamond"/>
          <w:iCs/>
          <w:szCs w:val="24"/>
          <w:lang w:val="sq-AL"/>
        </w:rPr>
        <w:t>s</w:t>
      </w:r>
      <w:r w:rsidRPr="00D93969">
        <w:rPr>
          <w:rFonts w:ascii="Garamond" w:hAnsi="Garamond"/>
          <w:iCs/>
          <w:szCs w:val="24"/>
          <w:lang w:val="sq-AL"/>
        </w:rPr>
        <w:t xml:space="preserve">htator 2007, ku kërkuesi ngriti një ankesë për të drejtën për t’iu drejtuar gjykatës). Në mungesë të një argumenti për këtë aspekt, Gjykata nuk mund të konstatojë se kufizimi i të drejtës së kompanisë kërkuese për t’iu drejtuar gjykatës është jo proporcional. </w:t>
      </w:r>
    </w:p>
    <w:p w14:paraId="68ED2B1F" w14:textId="7251991F"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18. Së fundmi, në lidhje me argumentin se autoritetet vendase nuk respektuan ligjin kur vendosën që kërkuesi duhej të parapaguante shumën përkatëse përpara se të paraqiste një apelim ndaj saj, Gjykata nuk konstatonte ndonjë arsye për të gjykuar</w:t>
      </w:r>
      <w:r w:rsidR="002F5D41">
        <w:rPr>
          <w:rFonts w:ascii="Garamond" w:hAnsi="Garamond"/>
          <w:iCs/>
          <w:szCs w:val="24"/>
          <w:lang w:val="sq-AL"/>
        </w:rPr>
        <w:t xml:space="preserve"> </w:t>
      </w:r>
      <w:r w:rsidRPr="00D93969">
        <w:rPr>
          <w:rFonts w:ascii="Garamond" w:hAnsi="Garamond"/>
          <w:iCs/>
          <w:szCs w:val="24"/>
          <w:lang w:val="sq-AL"/>
        </w:rPr>
        <w:t xml:space="preserve">se ai konstatim ishte arbitrar apo qartazi i paarsyeshëm (shih </w:t>
      </w:r>
      <w:r w:rsidRPr="00D93969">
        <w:rPr>
          <w:rFonts w:ascii="Garamond" w:hAnsi="Garamond"/>
          <w:i/>
          <w:szCs w:val="24"/>
          <w:lang w:val="sq-AL"/>
        </w:rPr>
        <w:t xml:space="preserve">Moreira Ferreira kundër Portugalisë (nr. 2) </w:t>
      </w:r>
      <w:r w:rsidRPr="00D93969">
        <w:rPr>
          <w:rFonts w:ascii="Garamond" w:hAnsi="Garamond"/>
          <w:iCs/>
          <w:szCs w:val="24"/>
          <w:lang w:val="sq-AL"/>
        </w:rPr>
        <w:t xml:space="preserve">[DHM], nr. 19867/12, §§83 dhe 85, 11 </w:t>
      </w:r>
      <w:r w:rsidR="002F5D41">
        <w:rPr>
          <w:rFonts w:ascii="Garamond" w:hAnsi="Garamond"/>
          <w:iCs/>
          <w:szCs w:val="24"/>
          <w:lang w:val="sq-AL"/>
        </w:rPr>
        <w:t>k</w:t>
      </w:r>
      <w:r w:rsidRPr="00D93969">
        <w:rPr>
          <w:rFonts w:ascii="Garamond" w:hAnsi="Garamond"/>
          <w:iCs/>
          <w:szCs w:val="24"/>
          <w:lang w:val="sq-AL"/>
        </w:rPr>
        <w:t>orrik 2017).</w:t>
      </w:r>
    </w:p>
    <w:p w14:paraId="6D9C2478" w14:textId="5EB3F009"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19. Për sa më sipër, veçanërisht duke marrë në konsideratë se kompania kërkuese nuk kishte kundërshtuar aspektin se kufizimi statutor i së drejtës së saj për t’iu drejtuar gjykatës ishte jo proporcional, Gjykata konstaton se çështja nuk paraqet ndonjë shkelje të së drejtës së kompanisë kërkuese për t’iu drejtuar gjykatës</w:t>
      </w:r>
      <w:r w:rsidR="002F5D41">
        <w:rPr>
          <w:rFonts w:ascii="Garamond" w:hAnsi="Garamond"/>
          <w:iCs/>
          <w:szCs w:val="24"/>
          <w:lang w:val="sq-AL"/>
        </w:rPr>
        <w:t>,</w:t>
      </w:r>
      <w:r w:rsidRPr="00D93969">
        <w:rPr>
          <w:rFonts w:ascii="Garamond" w:hAnsi="Garamond"/>
          <w:iCs/>
          <w:szCs w:val="24"/>
          <w:lang w:val="sq-AL"/>
        </w:rPr>
        <w:t xml:space="preserve"> sipas </w:t>
      </w:r>
      <w:r w:rsidR="002F5D41">
        <w:rPr>
          <w:rFonts w:ascii="Garamond" w:hAnsi="Garamond"/>
          <w:iCs/>
          <w:szCs w:val="24"/>
          <w:lang w:val="sq-AL"/>
        </w:rPr>
        <w:t>n</w:t>
      </w:r>
      <w:r w:rsidRPr="00D93969">
        <w:rPr>
          <w:rFonts w:ascii="Garamond" w:hAnsi="Garamond"/>
          <w:iCs/>
          <w:szCs w:val="24"/>
          <w:lang w:val="sq-AL"/>
        </w:rPr>
        <w:t>enit 6 §1 të Konventës.</w:t>
      </w:r>
    </w:p>
    <w:p w14:paraId="1A2FF221" w14:textId="3D1B08A2" w:rsidR="006217B5" w:rsidRPr="00D93969" w:rsidRDefault="006217B5" w:rsidP="006217B5">
      <w:pPr>
        <w:pStyle w:val="ECHRDecisionBody"/>
        <w:ind w:firstLine="284"/>
        <w:jc w:val="both"/>
        <w:rPr>
          <w:rFonts w:ascii="Garamond" w:hAnsi="Garamond"/>
          <w:b/>
          <w:bCs/>
          <w:iCs/>
          <w:szCs w:val="24"/>
          <w:lang w:val="sq-AL"/>
        </w:rPr>
      </w:pPr>
      <w:r w:rsidRPr="00D93969">
        <w:rPr>
          <w:rFonts w:ascii="Garamond" w:hAnsi="Garamond"/>
          <w:b/>
          <w:bCs/>
          <w:iCs/>
          <w:szCs w:val="24"/>
          <w:lang w:val="sq-AL"/>
        </w:rPr>
        <w:t>B. Neni 1</w:t>
      </w:r>
      <w:r w:rsidR="002F5D41">
        <w:rPr>
          <w:rFonts w:ascii="Garamond" w:hAnsi="Garamond"/>
          <w:b/>
          <w:bCs/>
          <w:iCs/>
          <w:szCs w:val="24"/>
          <w:lang w:val="sq-AL"/>
        </w:rPr>
        <w:t>,</w:t>
      </w:r>
      <w:r w:rsidRPr="00D93969">
        <w:rPr>
          <w:rFonts w:ascii="Garamond" w:hAnsi="Garamond"/>
          <w:b/>
          <w:bCs/>
          <w:iCs/>
          <w:szCs w:val="24"/>
          <w:lang w:val="sq-AL"/>
        </w:rPr>
        <w:t xml:space="preserve"> i </w:t>
      </w:r>
      <w:r w:rsidR="002F5D41" w:rsidRPr="00D93969">
        <w:rPr>
          <w:rFonts w:ascii="Garamond" w:hAnsi="Garamond"/>
          <w:b/>
          <w:bCs/>
          <w:iCs/>
          <w:szCs w:val="24"/>
          <w:lang w:val="sq-AL"/>
        </w:rPr>
        <w:t xml:space="preserve">protokollit nr. </w:t>
      </w:r>
      <w:r w:rsidRPr="00D93969">
        <w:rPr>
          <w:rFonts w:ascii="Garamond" w:hAnsi="Garamond"/>
          <w:b/>
          <w:bCs/>
          <w:iCs/>
          <w:szCs w:val="24"/>
          <w:lang w:val="sq-AL"/>
        </w:rPr>
        <w:t>1 të Konventës</w:t>
      </w:r>
    </w:p>
    <w:p w14:paraId="3C688A12" w14:textId="35B85CCE"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20. Nëse një kërkues nuk respekton kërkesat vendase të pranueshmërisë, kërkesa e tij apo e saj pranë Gjykatës, në parim, duhet të deklarohet e papranueshme për mosshfrytëzim të mjeteve vendase (shih</w:t>
      </w:r>
      <w:r w:rsidR="002F5D41">
        <w:rPr>
          <w:rFonts w:ascii="Garamond" w:hAnsi="Garamond"/>
          <w:iCs/>
          <w:szCs w:val="24"/>
          <w:lang w:val="sq-AL"/>
        </w:rPr>
        <w:t xml:space="preserve"> </w:t>
      </w:r>
      <w:r w:rsidRPr="00D93969">
        <w:rPr>
          <w:rFonts w:ascii="Garamond" w:hAnsi="Garamond"/>
          <w:i/>
          <w:szCs w:val="24"/>
          <w:lang w:val="sq-AL"/>
        </w:rPr>
        <w:t>Vučković dhe të Tjerë kundër Serbisë</w:t>
      </w:r>
      <w:r w:rsidRPr="00D93969">
        <w:rPr>
          <w:rFonts w:ascii="Garamond" w:hAnsi="Garamond"/>
          <w:iCs/>
          <w:szCs w:val="24"/>
          <w:lang w:val="sq-AL"/>
        </w:rPr>
        <w:t xml:space="preserve"> (kundërshtimi paraprak) [DHM], nr. 17153/11 dhe 29 të tjerë, § 72, 25 </w:t>
      </w:r>
      <w:r w:rsidR="002F5D41">
        <w:rPr>
          <w:rFonts w:ascii="Garamond" w:hAnsi="Garamond"/>
          <w:iCs/>
          <w:szCs w:val="24"/>
          <w:lang w:val="sq-AL"/>
        </w:rPr>
        <w:t>m</w:t>
      </w:r>
      <w:r w:rsidRPr="00D93969">
        <w:rPr>
          <w:rFonts w:ascii="Garamond" w:hAnsi="Garamond"/>
          <w:iCs/>
          <w:szCs w:val="24"/>
          <w:lang w:val="sq-AL"/>
        </w:rPr>
        <w:t>ars 2014).</w:t>
      </w:r>
    </w:p>
    <w:p w14:paraId="1185A338" w14:textId="2368D266"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Cs/>
          <w:szCs w:val="24"/>
          <w:lang w:val="sq-AL"/>
        </w:rPr>
        <w:t xml:space="preserve">21. Në çështjen konkrete, padia vendase e kërkuesit ishte shpallur e papranueshme, sepse nuk ishin shteruar mjetet administrative përpara se kërkuesi t’i drejtohej gjykatës, dhe ai rezultat nuk ishte kontradiktor me të drejtën e kompanisë kërkuese për t’iu drejtuar gjykatës (shih paragrafin 19 më sipër). Për pasojë, ankesa sipas </w:t>
      </w:r>
      <w:r w:rsidR="002F5D41" w:rsidRPr="00D93969">
        <w:rPr>
          <w:rFonts w:ascii="Garamond" w:hAnsi="Garamond"/>
          <w:iCs/>
          <w:szCs w:val="24"/>
          <w:lang w:val="sq-AL"/>
        </w:rPr>
        <w:t>nenit 1</w:t>
      </w:r>
      <w:r w:rsidR="002F5D41">
        <w:rPr>
          <w:rFonts w:ascii="Garamond" w:hAnsi="Garamond"/>
          <w:iCs/>
          <w:szCs w:val="24"/>
          <w:lang w:val="sq-AL"/>
        </w:rPr>
        <w:t>,</w:t>
      </w:r>
      <w:r w:rsidR="002F5D41" w:rsidRPr="00D93969">
        <w:rPr>
          <w:rFonts w:ascii="Garamond" w:hAnsi="Garamond"/>
          <w:iCs/>
          <w:szCs w:val="24"/>
          <w:lang w:val="sq-AL"/>
        </w:rPr>
        <w:t xml:space="preserve"> të protokollit nr</w:t>
      </w:r>
      <w:r w:rsidRPr="00D93969">
        <w:rPr>
          <w:rFonts w:ascii="Garamond" w:hAnsi="Garamond"/>
          <w:iCs/>
          <w:szCs w:val="24"/>
          <w:lang w:val="sq-AL"/>
        </w:rPr>
        <w:t>. 1 të Konventës</w:t>
      </w:r>
      <w:r w:rsidR="002F5D41">
        <w:rPr>
          <w:rFonts w:ascii="Garamond" w:hAnsi="Garamond"/>
          <w:iCs/>
          <w:szCs w:val="24"/>
          <w:lang w:val="sq-AL"/>
        </w:rPr>
        <w:t>,</w:t>
      </w:r>
      <w:r w:rsidRPr="00D93969">
        <w:rPr>
          <w:rFonts w:ascii="Garamond" w:hAnsi="Garamond"/>
          <w:iCs/>
          <w:szCs w:val="24"/>
          <w:lang w:val="sq-AL"/>
        </w:rPr>
        <w:t xml:space="preserve"> pranë Gjykatës është e papranueshme për mosshterim të mjeteve vendase sipas </w:t>
      </w:r>
      <w:r w:rsidR="002F5D41">
        <w:rPr>
          <w:rFonts w:ascii="Garamond" w:hAnsi="Garamond"/>
          <w:iCs/>
          <w:szCs w:val="24"/>
          <w:lang w:val="sq-AL"/>
        </w:rPr>
        <w:t>n</w:t>
      </w:r>
      <w:r w:rsidRPr="00D93969">
        <w:rPr>
          <w:rFonts w:ascii="Garamond" w:hAnsi="Garamond"/>
          <w:iCs/>
          <w:szCs w:val="24"/>
          <w:lang w:val="sq-AL"/>
        </w:rPr>
        <w:t xml:space="preserve">enit 35 §§ 1 dhe 4 të Konventës. </w:t>
      </w:r>
    </w:p>
    <w:p w14:paraId="4ED3442E" w14:textId="316A9EE0" w:rsidR="006217B5" w:rsidRPr="00D93969" w:rsidRDefault="002F5D41" w:rsidP="006217B5">
      <w:pPr>
        <w:pStyle w:val="ECHRDecisionBody"/>
        <w:ind w:firstLine="284"/>
        <w:jc w:val="both"/>
        <w:rPr>
          <w:rFonts w:ascii="Garamond" w:hAnsi="Garamond"/>
          <w:iCs/>
          <w:szCs w:val="24"/>
          <w:lang w:val="sq-AL"/>
        </w:rPr>
      </w:pPr>
      <w:r w:rsidRPr="00D93969">
        <w:rPr>
          <w:rFonts w:ascii="Garamond" w:hAnsi="Garamond"/>
          <w:iCs/>
          <w:szCs w:val="24"/>
          <w:lang w:val="sq-AL"/>
        </w:rPr>
        <w:t>PËR KËTO ARSYE, GJYKATA, NË MËNYRË UNANIME,</w:t>
      </w:r>
    </w:p>
    <w:p w14:paraId="19EB7254" w14:textId="77777777"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i/>
          <w:szCs w:val="24"/>
          <w:lang w:val="sq-AL"/>
        </w:rPr>
        <w:t xml:space="preserve">E shpall </w:t>
      </w:r>
      <w:r w:rsidRPr="00D93969">
        <w:rPr>
          <w:rFonts w:ascii="Garamond" w:hAnsi="Garamond"/>
          <w:iCs/>
          <w:szCs w:val="24"/>
          <w:lang w:val="sq-AL"/>
        </w:rPr>
        <w:t>kërkesën të papranueshme.</w:t>
      </w:r>
    </w:p>
    <w:p w14:paraId="788DBD48" w14:textId="61F415D3" w:rsidR="006217B5" w:rsidRPr="00D93969" w:rsidRDefault="006217B5" w:rsidP="006217B5">
      <w:pPr>
        <w:pStyle w:val="ECHRDecisionBody"/>
        <w:ind w:firstLine="284"/>
        <w:jc w:val="both"/>
        <w:rPr>
          <w:rFonts w:ascii="Garamond" w:hAnsi="Garamond"/>
          <w:iCs/>
          <w:szCs w:val="24"/>
          <w:lang w:val="sq-AL"/>
        </w:rPr>
      </w:pPr>
      <w:r w:rsidRPr="00D93969">
        <w:rPr>
          <w:rFonts w:ascii="Garamond" w:hAnsi="Garamond"/>
          <w:bCs/>
          <w:szCs w:val="24"/>
          <w:lang w:val="sq-AL"/>
        </w:rPr>
        <w:t xml:space="preserve">Hartuar në gjuhën angleze dhe njoftuar me shkrim më datë 20 </w:t>
      </w:r>
      <w:r w:rsidR="002F5D41">
        <w:rPr>
          <w:rFonts w:ascii="Garamond" w:hAnsi="Garamond"/>
          <w:bCs/>
          <w:szCs w:val="24"/>
          <w:lang w:val="sq-AL"/>
        </w:rPr>
        <w:t>k</w:t>
      </w:r>
      <w:r w:rsidRPr="00D93969">
        <w:rPr>
          <w:rFonts w:ascii="Garamond" w:hAnsi="Garamond"/>
          <w:bCs/>
          <w:szCs w:val="24"/>
          <w:lang w:val="sq-AL"/>
        </w:rPr>
        <w:t>orrik 2023.</w:t>
      </w:r>
      <w:r w:rsidR="002F5D41">
        <w:rPr>
          <w:rFonts w:ascii="Garamond" w:hAnsi="Garamond"/>
          <w:bCs/>
          <w:szCs w:val="24"/>
          <w:lang w:val="sq-AL"/>
        </w:rPr>
        <w:t xml:space="preserve"> </w:t>
      </w:r>
    </w:p>
    <w:p w14:paraId="70A358E8" w14:textId="77777777" w:rsidR="006217B5" w:rsidRPr="00D93969" w:rsidRDefault="006217B5" w:rsidP="006217B5">
      <w:pPr>
        <w:pStyle w:val="ECHRPara"/>
        <w:rPr>
          <w:rFonts w:ascii="Garamond" w:hAnsi="Garamond"/>
          <w:bCs/>
          <w:szCs w:val="24"/>
          <w:lang w:val="sq-AL"/>
        </w:rPr>
      </w:pPr>
    </w:p>
    <w:tbl>
      <w:tblPr>
        <w:tblStyle w:val="TableGrid"/>
        <w:tblW w:w="10160" w:type="dxa"/>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1"/>
        <w:gridCol w:w="4919"/>
      </w:tblGrid>
      <w:tr w:rsidR="006217B5" w:rsidRPr="00D93969" w14:paraId="70A77878" w14:textId="77777777" w:rsidTr="002F5D41">
        <w:trPr>
          <w:trHeight w:val="277"/>
        </w:trPr>
        <w:tc>
          <w:tcPr>
            <w:tcW w:w="5241" w:type="dxa"/>
          </w:tcPr>
          <w:p w14:paraId="4596AFE5" w14:textId="77777777" w:rsidR="006217B5" w:rsidRPr="00D93969" w:rsidRDefault="006217B5" w:rsidP="006217B5">
            <w:pPr>
              <w:pStyle w:val="ECHRPara"/>
              <w:ind w:firstLine="0"/>
              <w:rPr>
                <w:rFonts w:ascii="Garamond" w:hAnsi="Garamond"/>
                <w:b/>
                <w:bCs/>
                <w:szCs w:val="24"/>
                <w:lang w:val="sq-AL"/>
              </w:rPr>
            </w:pPr>
            <w:r w:rsidRPr="00D93969">
              <w:rPr>
                <w:rFonts w:ascii="Garamond" w:hAnsi="Garamond"/>
                <w:b/>
                <w:bCs/>
                <w:szCs w:val="24"/>
                <w:lang w:val="sq-AL"/>
              </w:rPr>
              <w:t>Olga Chernishova</w:t>
            </w:r>
          </w:p>
        </w:tc>
        <w:tc>
          <w:tcPr>
            <w:tcW w:w="4919" w:type="dxa"/>
          </w:tcPr>
          <w:p w14:paraId="40E6C885" w14:textId="77777777" w:rsidR="006217B5" w:rsidRPr="00D93969" w:rsidRDefault="006217B5" w:rsidP="006217B5">
            <w:pPr>
              <w:pStyle w:val="ECHRPara"/>
              <w:ind w:firstLine="0"/>
              <w:rPr>
                <w:rFonts w:ascii="Garamond" w:hAnsi="Garamond"/>
                <w:b/>
                <w:bCs/>
                <w:szCs w:val="24"/>
                <w:lang w:val="sq-AL"/>
              </w:rPr>
            </w:pPr>
            <w:r w:rsidRPr="00D93969">
              <w:rPr>
                <w:rFonts w:ascii="Garamond" w:hAnsi="Garamond"/>
                <w:b/>
                <w:bCs/>
                <w:szCs w:val="24"/>
                <w:lang w:val="sq-AL"/>
              </w:rPr>
              <w:t>Georgios A. Serghides</w:t>
            </w:r>
          </w:p>
        </w:tc>
      </w:tr>
      <w:tr w:rsidR="006217B5" w:rsidRPr="00D93969" w14:paraId="182352C3" w14:textId="77777777" w:rsidTr="002F5D41">
        <w:trPr>
          <w:trHeight w:val="277"/>
        </w:trPr>
        <w:tc>
          <w:tcPr>
            <w:tcW w:w="5241" w:type="dxa"/>
          </w:tcPr>
          <w:p w14:paraId="63C591D9" w14:textId="77777777" w:rsidR="006217B5" w:rsidRPr="00D93969" w:rsidRDefault="006217B5" w:rsidP="006217B5">
            <w:pPr>
              <w:pStyle w:val="ECHRPara"/>
              <w:ind w:firstLine="0"/>
              <w:rPr>
                <w:rFonts w:ascii="Garamond" w:hAnsi="Garamond"/>
                <w:bCs/>
                <w:szCs w:val="24"/>
                <w:lang w:val="sq-AL"/>
              </w:rPr>
            </w:pPr>
            <w:r w:rsidRPr="00D93969">
              <w:rPr>
                <w:rFonts w:ascii="Garamond" w:hAnsi="Garamond"/>
                <w:bCs/>
                <w:szCs w:val="24"/>
                <w:lang w:val="sq-AL"/>
              </w:rPr>
              <w:t>ZËVENDËSSEKRETARE</w:t>
            </w:r>
          </w:p>
        </w:tc>
        <w:tc>
          <w:tcPr>
            <w:tcW w:w="4919" w:type="dxa"/>
          </w:tcPr>
          <w:p w14:paraId="2D790E38" w14:textId="77777777" w:rsidR="006217B5" w:rsidRPr="00D93969" w:rsidRDefault="006217B5" w:rsidP="006217B5">
            <w:pPr>
              <w:pStyle w:val="ECHRPara"/>
              <w:ind w:firstLine="0"/>
              <w:rPr>
                <w:rFonts w:ascii="Garamond" w:hAnsi="Garamond"/>
                <w:bCs/>
                <w:szCs w:val="24"/>
                <w:lang w:val="sq-AL"/>
              </w:rPr>
            </w:pPr>
            <w:r w:rsidRPr="00D93969">
              <w:rPr>
                <w:rFonts w:ascii="Garamond" w:hAnsi="Garamond"/>
                <w:bCs/>
                <w:szCs w:val="24"/>
                <w:lang w:val="sq-AL"/>
              </w:rPr>
              <w:t>KRYETAR</w:t>
            </w:r>
          </w:p>
        </w:tc>
      </w:tr>
    </w:tbl>
    <w:p w14:paraId="1E2AC335" w14:textId="77777777" w:rsidR="006217B5" w:rsidRPr="00D93969" w:rsidRDefault="006217B5" w:rsidP="006217B5">
      <w:pPr>
        <w:pStyle w:val="ECHRPara"/>
        <w:rPr>
          <w:rFonts w:ascii="Garamond" w:hAnsi="Garamond"/>
          <w:bCs/>
          <w:szCs w:val="24"/>
          <w:lang w:val="sq-AL"/>
        </w:rPr>
      </w:pPr>
      <w:r w:rsidRPr="00D93969">
        <w:rPr>
          <w:rFonts w:ascii="Garamond" w:hAnsi="Garamond"/>
          <w:bCs/>
          <w:szCs w:val="24"/>
          <w:lang w:val="sq-AL"/>
        </w:rPr>
        <w:t xml:space="preserve"> </w:t>
      </w:r>
    </w:p>
    <w:p w14:paraId="698F7CDA" w14:textId="77777777" w:rsidR="00B56218" w:rsidRPr="00D93969" w:rsidRDefault="00B56218" w:rsidP="006217B5"/>
    <w:sectPr w:rsidR="00B56218" w:rsidRPr="00D9396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5EC6B" w14:textId="77777777" w:rsidR="00FB444B" w:rsidRDefault="00FB444B" w:rsidP="0090793A">
      <w:pPr>
        <w:spacing w:after="0" w:line="240" w:lineRule="auto"/>
      </w:pPr>
      <w:r>
        <w:separator/>
      </w:r>
    </w:p>
  </w:endnote>
  <w:endnote w:type="continuationSeparator" w:id="0">
    <w:p w14:paraId="6D525035" w14:textId="77777777" w:rsidR="00FB444B" w:rsidRDefault="00FB444B" w:rsidP="0090793A">
      <w:pPr>
        <w:spacing w:after="0" w:line="240" w:lineRule="auto"/>
      </w:pPr>
      <w:r>
        <w:continuationSeparator/>
      </w:r>
    </w:p>
  </w:endnote>
  <w:endnote w:type="continuationNotice" w:id="1">
    <w:p w14:paraId="56846A98" w14:textId="77777777" w:rsidR="00FB444B" w:rsidRDefault="00FB4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92B3A" w14:textId="77777777" w:rsidR="00FB444B" w:rsidRDefault="00FB444B" w:rsidP="0090793A">
      <w:pPr>
        <w:spacing w:after="0" w:line="240" w:lineRule="auto"/>
      </w:pPr>
      <w:r>
        <w:separator/>
      </w:r>
    </w:p>
  </w:footnote>
  <w:footnote w:type="continuationSeparator" w:id="0">
    <w:p w14:paraId="67314934" w14:textId="77777777" w:rsidR="00FB444B" w:rsidRDefault="00FB444B" w:rsidP="0090793A">
      <w:pPr>
        <w:spacing w:after="0" w:line="240" w:lineRule="auto"/>
      </w:pPr>
      <w:r>
        <w:continuationSeparator/>
      </w:r>
    </w:p>
  </w:footnote>
  <w:footnote w:type="continuationNotice" w:id="1">
    <w:p w14:paraId="64B3F8C8" w14:textId="77777777" w:rsidR="00FB444B" w:rsidRDefault="00FB4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F474E" w14:textId="77777777" w:rsidR="002254C0" w:rsidRDefault="002254C0">
    <w:pPr>
      <w:pStyle w:val="Header"/>
    </w:pPr>
  </w:p>
  <w:p w14:paraId="763F38C6" w14:textId="77777777" w:rsidR="002254C0" w:rsidRDefault="002254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98"/>
    <w:rsid w:val="00012745"/>
    <w:rsid w:val="00031098"/>
    <w:rsid w:val="000427A6"/>
    <w:rsid w:val="000458EB"/>
    <w:rsid w:val="0006026E"/>
    <w:rsid w:val="00075D23"/>
    <w:rsid w:val="00090D05"/>
    <w:rsid w:val="0009171B"/>
    <w:rsid w:val="000956ED"/>
    <w:rsid w:val="000A39B7"/>
    <w:rsid w:val="000A77D9"/>
    <w:rsid w:val="000C3D4A"/>
    <w:rsid w:val="000C55A5"/>
    <w:rsid w:val="000D7F01"/>
    <w:rsid w:val="001149C8"/>
    <w:rsid w:val="00121461"/>
    <w:rsid w:val="0012538B"/>
    <w:rsid w:val="001268DB"/>
    <w:rsid w:val="00135329"/>
    <w:rsid w:val="0014112D"/>
    <w:rsid w:val="00141B18"/>
    <w:rsid w:val="00142C2B"/>
    <w:rsid w:val="00160647"/>
    <w:rsid w:val="00160E68"/>
    <w:rsid w:val="00167FB5"/>
    <w:rsid w:val="00175424"/>
    <w:rsid w:val="00183018"/>
    <w:rsid w:val="00190C3D"/>
    <w:rsid w:val="001944EB"/>
    <w:rsid w:val="0019635C"/>
    <w:rsid w:val="001A2195"/>
    <w:rsid w:val="001C0519"/>
    <w:rsid w:val="001D2ABC"/>
    <w:rsid w:val="001D2F1F"/>
    <w:rsid w:val="001D3A2F"/>
    <w:rsid w:val="001E79ED"/>
    <w:rsid w:val="00204F93"/>
    <w:rsid w:val="00213728"/>
    <w:rsid w:val="002254C0"/>
    <w:rsid w:val="00234715"/>
    <w:rsid w:val="00252C2A"/>
    <w:rsid w:val="00257E0A"/>
    <w:rsid w:val="00263D3A"/>
    <w:rsid w:val="002821F2"/>
    <w:rsid w:val="002833E2"/>
    <w:rsid w:val="002929DC"/>
    <w:rsid w:val="002A23A7"/>
    <w:rsid w:val="002B1C09"/>
    <w:rsid w:val="002B7B82"/>
    <w:rsid w:val="002C3DC5"/>
    <w:rsid w:val="002C7879"/>
    <w:rsid w:val="002D71C7"/>
    <w:rsid w:val="002E2CDE"/>
    <w:rsid w:val="002F0DDD"/>
    <w:rsid w:val="002F5D41"/>
    <w:rsid w:val="003346E6"/>
    <w:rsid w:val="00334BDB"/>
    <w:rsid w:val="00336C31"/>
    <w:rsid w:val="00345F96"/>
    <w:rsid w:val="0034608A"/>
    <w:rsid w:val="00354F7A"/>
    <w:rsid w:val="003661C2"/>
    <w:rsid w:val="003673CA"/>
    <w:rsid w:val="00373E4A"/>
    <w:rsid w:val="00375DE4"/>
    <w:rsid w:val="00390D00"/>
    <w:rsid w:val="003956A3"/>
    <w:rsid w:val="00397301"/>
    <w:rsid w:val="003A0634"/>
    <w:rsid w:val="003A40CD"/>
    <w:rsid w:val="003A489E"/>
    <w:rsid w:val="003A6CF4"/>
    <w:rsid w:val="003B4312"/>
    <w:rsid w:val="003B57C7"/>
    <w:rsid w:val="003D12F1"/>
    <w:rsid w:val="003D54AD"/>
    <w:rsid w:val="003D693A"/>
    <w:rsid w:val="003E0134"/>
    <w:rsid w:val="003E6C19"/>
    <w:rsid w:val="00421355"/>
    <w:rsid w:val="00425784"/>
    <w:rsid w:val="00441236"/>
    <w:rsid w:val="004518B7"/>
    <w:rsid w:val="00452990"/>
    <w:rsid w:val="004604CD"/>
    <w:rsid w:val="00462CFB"/>
    <w:rsid w:val="004840E1"/>
    <w:rsid w:val="00486681"/>
    <w:rsid w:val="00490071"/>
    <w:rsid w:val="004948FB"/>
    <w:rsid w:val="00497200"/>
    <w:rsid w:val="004A2477"/>
    <w:rsid w:val="004C0C4E"/>
    <w:rsid w:val="004C25A2"/>
    <w:rsid w:val="004C3178"/>
    <w:rsid w:val="004C691E"/>
    <w:rsid w:val="004D4267"/>
    <w:rsid w:val="00504AE4"/>
    <w:rsid w:val="00505829"/>
    <w:rsid w:val="00523B5F"/>
    <w:rsid w:val="005305D6"/>
    <w:rsid w:val="00551CD1"/>
    <w:rsid w:val="0055542F"/>
    <w:rsid w:val="00567F21"/>
    <w:rsid w:val="00571959"/>
    <w:rsid w:val="00571B80"/>
    <w:rsid w:val="0058238F"/>
    <w:rsid w:val="00592C00"/>
    <w:rsid w:val="00597694"/>
    <w:rsid w:val="005B0B35"/>
    <w:rsid w:val="005B46A4"/>
    <w:rsid w:val="005B5967"/>
    <w:rsid w:val="005B7AE1"/>
    <w:rsid w:val="005C301C"/>
    <w:rsid w:val="005E27BA"/>
    <w:rsid w:val="005E7645"/>
    <w:rsid w:val="005F5040"/>
    <w:rsid w:val="006032E2"/>
    <w:rsid w:val="00614915"/>
    <w:rsid w:val="00615BAF"/>
    <w:rsid w:val="0061609B"/>
    <w:rsid w:val="006217B5"/>
    <w:rsid w:val="00623E07"/>
    <w:rsid w:val="00632A0C"/>
    <w:rsid w:val="006379E9"/>
    <w:rsid w:val="006425E0"/>
    <w:rsid w:val="00666247"/>
    <w:rsid w:val="00677AD4"/>
    <w:rsid w:val="00681454"/>
    <w:rsid w:val="00687BAF"/>
    <w:rsid w:val="006945EE"/>
    <w:rsid w:val="006A512D"/>
    <w:rsid w:val="006C5CF7"/>
    <w:rsid w:val="006D77AF"/>
    <w:rsid w:val="006E6768"/>
    <w:rsid w:val="00710CF1"/>
    <w:rsid w:val="0072369E"/>
    <w:rsid w:val="0073468F"/>
    <w:rsid w:val="00773738"/>
    <w:rsid w:val="0077527A"/>
    <w:rsid w:val="00775B4C"/>
    <w:rsid w:val="007A0E53"/>
    <w:rsid w:val="007A6FEA"/>
    <w:rsid w:val="007C2D06"/>
    <w:rsid w:val="007D20DA"/>
    <w:rsid w:val="007D4E26"/>
    <w:rsid w:val="007E4822"/>
    <w:rsid w:val="007E4A74"/>
    <w:rsid w:val="007F1F00"/>
    <w:rsid w:val="007F20FF"/>
    <w:rsid w:val="0080141E"/>
    <w:rsid w:val="00801642"/>
    <w:rsid w:val="008037E4"/>
    <w:rsid w:val="00804031"/>
    <w:rsid w:val="008044AD"/>
    <w:rsid w:val="00824C5B"/>
    <w:rsid w:val="00860EC6"/>
    <w:rsid w:val="00867646"/>
    <w:rsid w:val="0087040E"/>
    <w:rsid w:val="00886A96"/>
    <w:rsid w:val="00893102"/>
    <w:rsid w:val="008A2062"/>
    <w:rsid w:val="008A7BB6"/>
    <w:rsid w:val="008C2627"/>
    <w:rsid w:val="008D0BB7"/>
    <w:rsid w:val="008D0DF7"/>
    <w:rsid w:val="008D2BEA"/>
    <w:rsid w:val="008E44CB"/>
    <w:rsid w:val="0090793A"/>
    <w:rsid w:val="00915403"/>
    <w:rsid w:val="00943A32"/>
    <w:rsid w:val="00950BCD"/>
    <w:rsid w:val="009547F5"/>
    <w:rsid w:val="00956DBD"/>
    <w:rsid w:val="00983036"/>
    <w:rsid w:val="0098745D"/>
    <w:rsid w:val="009954E6"/>
    <w:rsid w:val="009B2B45"/>
    <w:rsid w:val="009E40DB"/>
    <w:rsid w:val="009E4E0D"/>
    <w:rsid w:val="00A0127D"/>
    <w:rsid w:val="00A0283C"/>
    <w:rsid w:val="00A20C98"/>
    <w:rsid w:val="00A24CF9"/>
    <w:rsid w:val="00A25B9A"/>
    <w:rsid w:val="00A30BA2"/>
    <w:rsid w:val="00A32E87"/>
    <w:rsid w:val="00A4586F"/>
    <w:rsid w:val="00A46623"/>
    <w:rsid w:val="00A52EE5"/>
    <w:rsid w:val="00A6527C"/>
    <w:rsid w:val="00A72D95"/>
    <w:rsid w:val="00A7746B"/>
    <w:rsid w:val="00A925C9"/>
    <w:rsid w:val="00AA2B7C"/>
    <w:rsid w:val="00AA3CC7"/>
    <w:rsid w:val="00AA47BF"/>
    <w:rsid w:val="00AA6249"/>
    <w:rsid w:val="00AC1022"/>
    <w:rsid w:val="00AC7415"/>
    <w:rsid w:val="00AC7C81"/>
    <w:rsid w:val="00AD2604"/>
    <w:rsid w:val="00AD3E46"/>
    <w:rsid w:val="00AD7C20"/>
    <w:rsid w:val="00B034C3"/>
    <w:rsid w:val="00B11BC7"/>
    <w:rsid w:val="00B1293F"/>
    <w:rsid w:val="00B33946"/>
    <w:rsid w:val="00B416C3"/>
    <w:rsid w:val="00B4296B"/>
    <w:rsid w:val="00B56218"/>
    <w:rsid w:val="00B63506"/>
    <w:rsid w:val="00B70659"/>
    <w:rsid w:val="00B71250"/>
    <w:rsid w:val="00B7328E"/>
    <w:rsid w:val="00B76F3D"/>
    <w:rsid w:val="00B848A9"/>
    <w:rsid w:val="00B86D15"/>
    <w:rsid w:val="00BA244C"/>
    <w:rsid w:val="00BA2E85"/>
    <w:rsid w:val="00BB2B04"/>
    <w:rsid w:val="00BB55ED"/>
    <w:rsid w:val="00BD0463"/>
    <w:rsid w:val="00BD0BEA"/>
    <w:rsid w:val="00BD36DF"/>
    <w:rsid w:val="00BE3604"/>
    <w:rsid w:val="00BE4E91"/>
    <w:rsid w:val="00BF4D86"/>
    <w:rsid w:val="00C042A6"/>
    <w:rsid w:val="00C0464F"/>
    <w:rsid w:val="00C07057"/>
    <w:rsid w:val="00C1476F"/>
    <w:rsid w:val="00C20549"/>
    <w:rsid w:val="00C30D0F"/>
    <w:rsid w:val="00C3572F"/>
    <w:rsid w:val="00C45955"/>
    <w:rsid w:val="00C5044F"/>
    <w:rsid w:val="00C5501C"/>
    <w:rsid w:val="00C634C1"/>
    <w:rsid w:val="00C71BED"/>
    <w:rsid w:val="00C72247"/>
    <w:rsid w:val="00C87472"/>
    <w:rsid w:val="00CA3579"/>
    <w:rsid w:val="00CA67DB"/>
    <w:rsid w:val="00CA70A2"/>
    <w:rsid w:val="00CB54DF"/>
    <w:rsid w:val="00CC12D4"/>
    <w:rsid w:val="00CD3537"/>
    <w:rsid w:val="00CE2A8A"/>
    <w:rsid w:val="00CE5249"/>
    <w:rsid w:val="00CF257C"/>
    <w:rsid w:val="00CF6387"/>
    <w:rsid w:val="00D12A76"/>
    <w:rsid w:val="00D20D88"/>
    <w:rsid w:val="00D63ABD"/>
    <w:rsid w:val="00D664EF"/>
    <w:rsid w:val="00D67248"/>
    <w:rsid w:val="00D70F22"/>
    <w:rsid w:val="00D77F86"/>
    <w:rsid w:val="00D8097B"/>
    <w:rsid w:val="00D93969"/>
    <w:rsid w:val="00DA0E6B"/>
    <w:rsid w:val="00DA3185"/>
    <w:rsid w:val="00DA4EAA"/>
    <w:rsid w:val="00DB1844"/>
    <w:rsid w:val="00DE03AC"/>
    <w:rsid w:val="00DE1916"/>
    <w:rsid w:val="00E04762"/>
    <w:rsid w:val="00E05E21"/>
    <w:rsid w:val="00E24542"/>
    <w:rsid w:val="00E410D0"/>
    <w:rsid w:val="00E4133D"/>
    <w:rsid w:val="00E458A5"/>
    <w:rsid w:val="00E56153"/>
    <w:rsid w:val="00E61BC2"/>
    <w:rsid w:val="00E702BD"/>
    <w:rsid w:val="00E71C53"/>
    <w:rsid w:val="00E73692"/>
    <w:rsid w:val="00E90C21"/>
    <w:rsid w:val="00E944F8"/>
    <w:rsid w:val="00EC5ECD"/>
    <w:rsid w:val="00ED307F"/>
    <w:rsid w:val="00ED57FF"/>
    <w:rsid w:val="00EE0624"/>
    <w:rsid w:val="00EE4477"/>
    <w:rsid w:val="00EF1574"/>
    <w:rsid w:val="00EF5D20"/>
    <w:rsid w:val="00F50B83"/>
    <w:rsid w:val="00F51CB4"/>
    <w:rsid w:val="00F52037"/>
    <w:rsid w:val="00F56A94"/>
    <w:rsid w:val="00F67838"/>
    <w:rsid w:val="00F67E1E"/>
    <w:rsid w:val="00F9053B"/>
    <w:rsid w:val="00FB2D9C"/>
    <w:rsid w:val="00FB444B"/>
    <w:rsid w:val="00FC3948"/>
    <w:rsid w:val="00FC51DA"/>
    <w:rsid w:val="00FC5391"/>
    <w:rsid w:val="00FC6CAA"/>
    <w:rsid w:val="00FD48B1"/>
    <w:rsid w:val="00FD7CC4"/>
    <w:rsid w:val="00FE24E7"/>
    <w:rsid w:val="00FE32FE"/>
    <w:rsid w:val="00FE408A"/>
    <w:rsid w:val="00FE5DBE"/>
    <w:rsid w:val="00FE5DFC"/>
    <w:rsid w:val="00FF1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CE8B"/>
  <w15:chartTrackingRefBased/>
  <w15:docId w15:val="{87B59054-8908-4E11-9956-B845FFA37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7B5"/>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99"/>
    <w:rsid w:val="006217B5"/>
    <w:rPr>
      <w:rFonts w:ascii="Calibri" w:eastAsia="Times New Roman" w:hAnsi="Calibri" w:cs="Times New Roman"/>
      <w:sz w:val="20"/>
      <w:szCs w:val="20"/>
      <w:lang w:val="en-GB" w:eastAsia="en-GB"/>
    </w:rPr>
  </w:style>
  <w:style w:type="paragraph" w:styleId="NoSpacing">
    <w:name w:val="No Spacing"/>
    <w:link w:val="NoSpacingChar"/>
    <w:uiPriority w:val="1"/>
    <w:qFormat/>
    <w:rsid w:val="006217B5"/>
    <w:pPr>
      <w:spacing w:after="0" w:line="240" w:lineRule="auto"/>
    </w:pPr>
    <w:rPr>
      <w:rFonts w:ascii="Calibri" w:eastAsia="Times New Roman" w:hAnsi="Calibri" w:cs="Times New Roman"/>
    </w:rPr>
  </w:style>
  <w:style w:type="table" w:styleId="TableGrid">
    <w:name w:val="Table Grid"/>
    <w:basedOn w:val="TableNormal"/>
    <w:uiPriority w:val="59"/>
    <w:rsid w:val="006217B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6217B5"/>
    <w:rPr>
      <w:rFonts w:ascii="Calibri" w:eastAsia="Times New Roman" w:hAnsi="Calibri" w:cs="Times New Roman"/>
    </w:rPr>
  </w:style>
  <w:style w:type="paragraph" w:customStyle="1" w:styleId="ECHRDecisionBody">
    <w:name w:val="ECHR_Decision_Body"/>
    <w:aliases w:val="Ju_Judges"/>
    <w:basedOn w:val="Normal"/>
    <w:uiPriority w:val="11"/>
    <w:qFormat/>
    <w:rsid w:val="006217B5"/>
    <w:pPr>
      <w:tabs>
        <w:tab w:val="left" w:pos="567"/>
        <w:tab w:val="left" w:pos="1134"/>
      </w:tabs>
      <w:spacing w:after="0" w:line="240" w:lineRule="auto"/>
    </w:pPr>
    <w:rPr>
      <w:rFonts w:ascii="Times New Roman" w:hAnsi="Times New Roman" w:cs="Times New Roman"/>
      <w:sz w:val="24"/>
      <w:lang w:val="en-GB"/>
    </w:rPr>
  </w:style>
  <w:style w:type="paragraph" w:customStyle="1" w:styleId="ECHRPara">
    <w:name w:val="ECHR_Para"/>
    <w:aliases w:val="Ju_Para"/>
    <w:basedOn w:val="Normal"/>
    <w:link w:val="ECHRParaChar"/>
    <w:uiPriority w:val="12"/>
    <w:qFormat/>
    <w:rsid w:val="006217B5"/>
    <w:pPr>
      <w:spacing w:after="0" w:line="240" w:lineRule="auto"/>
      <w:ind w:firstLine="284"/>
      <w:jc w:val="both"/>
    </w:pPr>
    <w:rPr>
      <w:rFonts w:ascii="Times New Roman" w:hAnsi="Times New Roman" w:cs="Times New Roman"/>
      <w:sz w:val="24"/>
      <w:szCs w:val="20"/>
      <w:lang w:val="en-GB" w:eastAsia="x-none"/>
    </w:rPr>
  </w:style>
  <w:style w:type="character" w:customStyle="1" w:styleId="ECHRParaChar">
    <w:name w:val="ECHR_Para Char"/>
    <w:aliases w:val="Ju_Para Char"/>
    <w:link w:val="ECHRPara"/>
    <w:uiPriority w:val="12"/>
    <w:rsid w:val="006217B5"/>
    <w:rPr>
      <w:rFonts w:ascii="Times New Roman" w:hAnsi="Times New Roman" w:cs="Times New Roman"/>
      <w:sz w:val="24"/>
      <w:szCs w:val="20"/>
      <w:lang w:val="en-GB" w:eastAsia="x-none"/>
    </w:rPr>
  </w:style>
  <w:style w:type="paragraph" w:styleId="Footer">
    <w:name w:val="footer"/>
    <w:basedOn w:val="Normal"/>
    <w:link w:val="FooterChar"/>
    <w:uiPriority w:val="99"/>
    <w:semiHidden/>
    <w:unhideWhenUsed/>
    <w:rsid w:val="009079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65320-09</Nr_x002e__x0020_akti>
    <Data_x0020_e_x0020_Krijimit xmlns="0e656187-b300-4fb0-8bf4-3a50f872073c">2023-08-17T09:21:39Z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2023-08-16T22:00:00Z</Date_x0020_protokolli>
    <Titulli xmlns="0e656187-b300-4fb0-8bf4-3a50f872073c">Çështja "Dea 7.CO kundër Shqipërisë", kërkesa nr.65320/09</Titulli>
    <Modifikuesi xmlns="0e656187-b300-4fb0-8bf4-3a50f872073c">valjeta.kaftalli</Modifikuesi>
    <Nr_x002e__x0020_prot_x0020_QBZ xmlns="0e656187-b300-4fb0-8bf4-3a50f872073c">1277/1</Nr_x002e__x0020_prot_x0020_QBZ>
    <Data_x0020_e_x0020_Modifikimit xmlns="0e656187-b300-4fb0-8bf4-3a50f872073c">2023-08-21T08:47:16Z</Data_x0020_e_x0020_Modifikimit>
    <Dekretuar xmlns="0e656187-b300-4fb0-8bf4-3a50f872073c">false</Dekretuar>
    <Data xmlns="0e656187-b300-4fb0-8bf4-3a50f872073c">2023-07-19T22:00:00Z</Data>
    <Nr_x002e__x0020_protokolli_x0020_i_x0020_aktit xmlns="0e656187-b300-4fb0-8bf4-3a50f872073c">4965/1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2.xml><?xml version="1.0" encoding="utf-8"?>
<ct:contentTypeSchema xmlns:ct="http://schemas.microsoft.com/office/2006/metadata/contentType" xmlns:ma="http://schemas.microsoft.com/office/2006/metadata/properties/metaAttributes" ct:_="" ma:_="" ma:contentTypeName="Akt ligjor" ma:contentTypeID="0x010100425FBEDC8C4E4404A5A75B48697A7265"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E9CBC0-3C1A-4C77-B122-97F96C6108A5}">
  <ds:schemaRefs>
    <ds:schemaRef ds:uri="http://schemas.microsoft.com/office/2006/metadata/properties"/>
    <ds:schemaRef ds:uri="http://schemas.microsoft.com/office/infopath/2007/PartnerControls"/>
    <ds:schemaRef ds:uri="0e656187-b300-4fb0-8bf4-3a50f872073c"/>
  </ds:schemaRefs>
</ds:datastoreItem>
</file>

<file path=customXml/itemProps2.xml><?xml version="1.0" encoding="utf-8"?>
<ds:datastoreItem xmlns:ds="http://schemas.openxmlformats.org/officeDocument/2006/customXml" ds:itemID="{D23971F4-C4DF-4FF6-AB56-9E404E70F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9049EE-8BC4-4B96-9061-F2E346A76A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Çështja "Dea 7 CO kundër Shqipërisë"</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"Dea 7 CO kundër Shqipërisë"</dc:title>
  <dc:creator>Entela Suli</dc:creator>
  <cp:lastModifiedBy>Jonida Zaharia</cp:lastModifiedBy>
  <cp:revision>2</cp:revision>
  <dcterms:created xsi:type="dcterms:W3CDTF">2024-06-07T10:45:00Z</dcterms:created>
  <dcterms:modified xsi:type="dcterms:W3CDTF">2024-06-07T10:45:00Z</dcterms:modified>
</cp:coreProperties>
</file>