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4FC48" w14:textId="37341EC8" w:rsidR="00211C60" w:rsidRPr="007C1C8B" w:rsidRDefault="00211C60" w:rsidP="00692AE6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7C1C8B">
        <w:rPr>
          <w:rFonts w:ascii="Garamond" w:hAnsi="Garamond"/>
          <w:sz w:val="24"/>
          <w:szCs w:val="24"/>
          <w:lang w:val="sq-AL"/>
        </w:rPr>
        <w:t>GJYKATA</w:t>
      </w:r>
      <w:r w:rsidR="00692AE6" w:rsidRPr="007C1C8B">
        <w:rPr>
          <w:rFonts w:ascii="Garamond" w:hAnsi="Garamond"/>
          <w:sz w:val="24"/>
          <w:szCs w:val="24"/>
          <w:lang w:val="sq-AL"/>
        </w:rPr>
        <w:t xml:space="preserve"> </w:t>
      </w:r>
      <w:r w:rsidRPr="007C1C8B">
        <w:rPr>
          <w:rFonts w:ascii="Garamond" w:hAnsi="Garamond"/>
          <w:sz w:val="24"/>
          <w:szCs w:val="24"/>
          <w:lang w:val="sq-AL"/>
        </w:rPr>
        <w:t>EVROPIANE</w:t>
      </w:r>
      <w:r w:rsidR="00692AE6" w:rsidRPr="007C1C8B">
        <w:rPr>
          <w:rFonts w:ascii="Garamond" w:hAnsi="Garamond"/>
          <w:sz w:val="24"/>
          <w:szCs w:val="24"/>
          <w:lang w:val="sq-AL"/>
        </w:rPr>
        <w:t xml:space="preserve"> </w:t>
      </w:r>
      <w:r w:rsidRPr="007C1C8B">
        <w:rPr>
          <w:rFonts w:ascii="Garamond" w:hAnsi="Garamond"/>
          <w:sz w:val="24"/>
          <w:szCs w:val="24"/>
          <w:lang w:val="sq-AL"/>
        </w:rPr>
        <w:t>PËR</w:t>
      </w:r>
      <w:r w:rsidR="00692AE6" w:rsidRPr="007C1C8B">
        <w:rPr>
          <w:rFonts w:ascii="Garamond" w:hAnsi="Garamond"/>
          <w:sz w:val="24"/>
          <w:szCs w:val="24"/>
          <w:lang w:val="sq-AL"/>
        </w:rPr>
        <w:t xml:space="preserve"> </w:t>
      </w:r>
      <w:r w:rsidRPr="007C1C8B">
        <w:rPr>
          <w:rFonts w:ascii="Garamond" w:hAnsi="Garamond"/>
          <w:sz w:val="24"/>
          <w:szCs w:val="24"/>
          <w:lang w:val="sq-AL"/>
        </w:rPr>
        <w:t>TË</w:t>
      </w:r>
      <w:r w:rsidR="00692AE6" w:rsidRPr="007C1C8B">
        <w:rPr>
          <w:rFonts w:ascii="Garamond" w:hAnsi="Garamond"/>
          <w:sz w:val="24"/>
          <w:szCs w:val="24"/>
          <w:lang w:val="sq-AL"/>
        </w:rPr>
        <w:t xml:space="preserve"> </w:t>
      </w:r>
      <w:r w:rsidRPr="007C1C8B">
        <w:rPr>
          <w:rFonts w:ascii="Garamond" w:hAnsi="Garamond"/>
          <w:sz w:val="24"/>
          <w:szCs w:val="24"/>
          <w:lang w:val="sq-AL"/>
        </w:rPr>
        <w:t>DREJTAT</w:t>
      </w:r>
      <w:r w:rsidR="00692AE6" w:rsidRPr="007C1C8B">
        <w:rPr>
          <w:rFonts w:ascii="Garamond" w:hAnsi="Garamond"/>
          <w:sz w:val="24"/>
          <w:szCs w:val="24"/>
          <w:lang w:val="sq-AL"/>
        </w:rPr>
        <w:t xml:space="preserve"> </w:t>
      </w:r>
      <w:r w:rsidRPr="007C1C8B">
        <w:rPr>
          <w:rFonts w:ascii="Garamond" w:hAnsi="Garamond"/>
          <w:sz w:val="24"/>
          <w:szCs w:val="24"/>
          <w:lang w:val="sq-AL"/>
        </w:rPr>
        <w:t>E</w:t>
      </w:r>
      <w:r w:rsidR="00692AE6" w:rsidRPr="007C1C8B">
        <w:rPr>
          <w:rFonts w:ascii="Garamond" w:hAnsi="Garamond"/>
          <w:sz w:val="24"/>
          <w:szCs w:val="24"/>
          <w:lang w:val="sq-AL"/>
        </w:rPr>
        <w:t xml:space="preserve"> </w:t>
      </w:r>
      <w:r w:rsidRPr="007C1C8B">
        <w:rPr>
          <w:rFonts w:ascii="Garamond" w:hAnsi="Garamond"/>
          <w:sz w:val="24"/>
          <w:szCs w:val="24"/>
          <w:lang w:val="sq-AL"/>
        </w:rPr>
        <w:t>NJERIUT</w:t>
      </w:r>
    </w:p>
    <w:p w14:paraId="5AE46FA0" w14:textId="77777777" w:rsidR="007D4ED1" w:rsidRPr="007C1C8B" w:rsidRDefault="007D4ED1" w:rsidP="00692AE6">
      <w:pPr>
        <w:pStyle w:val="DecHTitle"/>
        <w:keepNext w:val="0"/>
        <w:keepLines w:val="0"/>
        <w:spacing w:after="0"/>
        <w:ind w:firstLine="284"/>
        <w:rPr>
          <w:rFonts w:ascii="Garamond" w:hAnsi="Garamond"/>
          <w:sz w:val="24"/>
          <w:szCs w:val="24"/>
          <w:lang w:val="sq-AL"/>
        </w:rPr>
      </w:pPr>
    </w:p>
    <w:p w14:paraId="637447E3" w14:textId="141A3EAC" w:rsidR="00692AE6" w:rsidRPr="007C1C8B" w:rsidRDefault="00692AE6" w:rsidP="00692AE6">
      <w:pPr>
        <w:pStyle w:val="DecHTitle"/>
        <w:keepNext w:val="0"/>
        <w:keepLines w:val="0"/>
        <w:spacing w:after="0"/>
        <w:ind w:firstLine="284"/>
        <w:rPr>
          <w:rFonts w:ascii="Garamond" w:hAnsi="Garamond"/>
          <w:sz w:val="24"/>
          <w:szCs w:val="24"/>
          <w:lang w:val="sq-AL"/>
        </w:rPr>
      </w:pPr>
      <w:r w:rsidRPr="007C1C8B">
        <w:rPr>
          <w:rFonts w:ascii="Garamond" w:hAnsi="Garamond"/>
          <w:sz w:val="24"/>
          <w:szCs w:val="24"/>
          <w:lang w:val="sq-AL"/>
        </w:rPr>
        <w:t>SEKSIONI I TRETË</w:t>
      </w:r>
    </w:p>
    <w:p w14:paraId="2AE45D5A" w14:textId="77777777" w:rsidR="00692AE6" w:rsidRPr="007C1C8B" w:rsidRDefault="00692AE6" w:rsidP="00692AE6">
      <w:pPr>
        <w:pStyle w:val="DecHTitle"/>
        <w:keepNext w:val="0"/>
        <w:keepLines w:val="0"/>
        <w:spacing w:after="0"/>
        <w:ind w:firstLine="284"/>
        <w:rPr>
          <w:rFonts w:ascii="Garamond" w:hAnsi="Garamond"/>
          <w:sz w:val="24"/>
          <w:szCs w:val="24"/>
          <w:lang w:val="sq-AL"/>
        </w:rPr>
      </w:pPr>
    </w:p>
    <w:p w14:paraId="7EF6BDFB" w14:textId="6DB098D7" w:rsidR="00692AE6" w:rsidRPr="007C1C8B" w:rsidRDefault="00692AE6" w:rsidP="00692AE6">
      <w:pPr>
        <w:pStyle w:val="DecHTitle"/>
        <w:keepNext w:val="0"/>
        <w:keepLines w:val="0"/>
        <w:spacing w:after="0"/>
        <w:ind w:firstLine="284"/>
        <w:rPr>
          <w:rFonts w:ascii="Garamond" w:hAnsi="Garamond"/>
          <w:b/>
          <w:sz w:val="24"/>
          <w:szCs w:val="24"/>
          <w:lang w:val="sq-AL"/>
        </w:rPr>
      </w:pPr>
      <w:r w:rsidRPr="007C1C8B">
        <w:rPr>
          <w:rFonts w:ascii="Garamond" w:hAnsi="Garamond"/>
          <w:b/>
          <w:sz w:val="24"/>
          <w:szCs w:val="24"/>
          <w:lang w:val="sq-AL"/>
        </w:rPr>
        <w:t>VENDIM</w:t>
      </w:r>
    </w:p>
    <w:p w14:paraId="5AE34350" w14:textId="38582AAB" w:rsidR="00692AE6" w:rsidRPr="007C1C8B" w:rsidRDefault="00692AE6" w:rsidP="00692AE6">
      <w:pPr>
        <w:pStyle w:val="DecHCase"/>
        <w:keepNext w:val="0"/>
        <w:keepLines w:val="0"/>
        <w:spacing w:after="0"/>
        <w:ind w:firstLine="284"/>
        <w:rPr>
          <w:rFonts w:ascii="Garamond" w:hAnsi="Garamond"/>
          <w:i/>
          <w:lang w:val="sq-AL"/>
        </w:rPr>
      </w:pPr>
      <w:r w:rsidRPr="007C1C8B">
        <w:rPr>
          <w:rFonts w:ascii="Garamond" w:hAnsi="Garamond"/>
          <w:i/>
          <w:lang w:val="sq-AL"/>
        </w:rPr>
        <w:t>Kërkesa nr. 50783/12</w:t>
      </w:r>
    </w:p>
    <w:p w14:paraId="453F4D1A" w14:textId="77777777" w:rsidR="00692AE6" w:rsidRPr="007C1C8B" w:rsidRDefault="00692AE6" w:rsidP="00692AE6">
      <w:pPr>
        <w:pStyle w:val="DecHCase"/>
        <w:keepNext w:val="0"/>
        <w:keepLines w:val="0"/>
        <w:spacing w:after="0"/>
        <w:ind w:firstLine="284"/>
        <w:rPr>
          <w:rFonts w:ascii="Garamond" w:hAnsi="Garamond"/>
          <w:lang w:val="sq-AL"/>
        </w:rPr>
      </w:pPr>
    </w:p>
    <w:p w14:paraId="5B9A3B16" w14:textId="412FBEC6" w:rsidR="00692AE6" w:rsidRPr="007C1C8B" w:rsidRDefault="007D4ED1" w:rsidP="00692AE6">
      <w:pPr>
        <w:pStyle w:val="DecHCase"/>
        <w:keepNext w:val="0"/>
        <w:keepLines w:val="0"/>
        <w:spacing w:after="0"/>
        <w:ind w:firstLine="284"/>
        <w:rPr>
          <w:rFonts w:ascii="Garamond" w:hAnsi="Garamond"/>
          <w:b/>
          <w:lang w:val="sq-AL"/>
        </w:rPr>
      </w:pPr>
      <w:r w:rsidRPr="007C1C8B">
        <w:rPr>
          <w:rFonts w:ascii="Garamond" w:hAnsi="Garamond"/>
          <w:b/>
          <w:lang w:val="sq-AL"/>
        </w:rPr>
        <w:t xml:space="preserve">Dede </w:t>
      </w:r>
      <w:r w:rsidR="00692AE6" w:rsidRPr="007C1C8B">
        <w:rPr>
          <w:rFonts w:ascii="Garamond" w:hAnsi="Garamond"/>
          <w:b/>
          <w:lang w:val="sq-AL"/>
        </w:rPr>
        <w:t>ZHIVANI</w:t>
      </w:r>
    </w:p>
    <w:p w14:paraId="46D9B1D4" w14:textId="4F2B0D57" w:rsidR="00692AE6" w:rsidRPr="007C1C8B" w:rsidRDefault="007D4ED1" w:rsidP="00692AE6">
      <w:pPr>
        <w:pStyle w:val="DecHCase"/>
        <w:keepNext w:val="0"/>
        <w:keepLines w:val="0"/>
        <w:spacing w:after="0"/>
        <w:ind w:firstLine="284"/>
        <w:rPr>
          <w:rFonts w:ascii="Garamond" w:hAnsi="Garamond"/>
          <w:b/>
          <w:lang w:val="sq-AL"/>
        </w:rPr>
      </w:pPr>
      <w:r w:rsidRPr="007C1C8B">
        <w:rPr>
          <w:rFonts w:ascii="Garamond" w:hAnsi="Garamond"/>
          <w:b/>
          <w:lang w:val="sq-AL"/>
        </w:rPr>
        <w:t>kundër Shqipërisë</w:t>
      </w:r>
    </w:p>
    <w:p w14:paraId="2887EF01" w14:textId="155ECEF9" w:rsidR="00692AE6" w:rsidRPr="007C1C8B" w:rsidRDefault="00692AE6" w:rsidP="00692AE6">
      <w:pPr>
        <w:pStyle w:val="DecHCase"/>
        <w:keepNext w:val="0"/>
        <w:keepLines w:val="0"/>
        <w:spacing w:after="0"/>
        <w:ind w:firstLine="284"/>
        <w:rPr>
          <w:rFonts w:ascii="Garamond" w:hAnsi="Garamond"/>
          <w:i/>
          <w:iCs/>
          <w:lang w:val="sq-AL"/>
        </w:rPr>
      </w:pPr>
      <w:r w:rsidRPr="007C1C8B">
        <w:rPr>
          <w:rFonts w:ascii="Garamond" w:hAnsi="Garamond"/>
          <w:i/>
          <w:lang w:val="sq-AL"/>
        </w:rPr>
        <w:t>(shihni tabelën bashkëngjitur)</w:t>
      </w:r>
    </w:p>
    <w:p w14:paraId="047B274F" w14:textId="77777777" w:rsidR="00692AE6" w:rsidRPr="007C1C8B" w:rsidRDefault="00692AE6" w:rsidP="00692AE6">
      <w:pPr>
        <w:pStyle w:val="JuPara"/>
        <w:ind w:firstLine="284"/>
        <w:rPr>
          <w:rFonts w:ascii="Garamond" w:hAnsi="Garamond"/>
          <w:lang w:val="sq-AL"/>
        </w:rPr>
      </w:pPr>
    </w:p>
    <w:p w14:paraId="01E8BCCE" w14:textId="4D110410" w:rsidR="00692AE6" w:rsidRPr="007C1C8B" w:rsidRDefault="00692AE6" w:rsidP="00692AE6">
      <w:pPr>
        <w:pStyle w:val="JuPara"/>
        <w:ind w:firstLine="284"/>
        <w:rPr>
          <w:rFonts w:ascii="Garamond" w:hAnsi="Garamond"/>
          <w:lang w:val="sq-AL"/>
        </w:rPr>
      </w:pPr>
      <w:r w:rsidRPr="007C1C8B">
        <w:rPr>
          <w:rFonts w:ascii="Garamond" w:hAnsi="Garamond"/>
          <w:lang w:val="sq-AL"/>
        </w:rPr>
        <w:t xml:space="preserve">Gjykata </w:t>
      </w:r>
      <w:r w:rsidR="00DF68E0" w:rsidRPr="007C1C8B">
        <w:rPr>
          <w:rFonts w:ascii="Garamond" w:hAnsi="Garamond"/>
          <w:lang w:val="sq-AL"/>
        </w:rPr>
        <w:t>Evropiane</w:t>
      </w:r>
      <w:r w:rsidRPr="007C1C8B">
        <w:rPr>
          <w:rFonts w:ascii="Garamond" w:hAnsi="Garamond"/>
          <w:lang w:val="sq-AL"/>
        </w:rPr>
        <w:t xml:space="preserve"> e të Drejtave të Njeriut (Seksioni i Tretë), e mbledhur më 14 shtator 2023</w:t>
      </w:r>
      <w:r w:rsidR="007D4ED1" w:rsidRPr="007C1C8B">
        <w:rPr>
          <w:rFonts w:ascii="Garamond" w:hAnsi="Garamond"/>
          <w:lang w:val="sq-AL"/>
        </w:rPr>
        <w:t>,</w:t>
      </w:r>
      <w:r w:rsidRPr="007C1C8B">
        <w:rPr>
          <w:rFonts w:ascii="Garamond" w:hAnsi="Garamond"/>
          <w:lang w:val="sq-AL"/>
        </w:rPr>
        <w:t xml:space="preserve"> si Komitet i përbërë nga:</w:t>
      </w:r>
    </w:p>
    <w:p w14:paraId="589FCA3B" w14:textId="3EF2238E" w:rsidR="00692AE6" w:rsidRPr="007C1C8B" w:rsidRDefault="00692AE6" w:rsidP="00692AE6">
      <w:pPr>
        <w:pStyle w:val="JuJudges"/>
        <w:tabs>
          <w:tab w:val="left" w:pos="280"/>
        </w:tabs>
        <w:ind w:firstLine="284"/>
        <w:jc w:val="both"/>
        <w:rPr>
          <w:rFonts w:ascii="Garamond" w:hAnsi="Garamond"/>
          <w:lang w:val="sq-AL"/>
        </w:rPr>
      </w:pPr>
      <w:r w:rsidRPr="007C1C8B">
        <w:rPr>
          <w:rFonts w:ascii="Garamond" w:hAnsi="Garamond"/>
          <w:lang w:val="sq-AL"/>
        </w:rPr>
        <w:t xml:space="preserve"> Ioannis Ktistakis</w:t>
      </w:r>
      <w:r w:rsidRPr="007C1C8B">
        <w:rPr>
          <w:rFonts w:ascii="Garamond" w:hAnsi="Garamond"/>
          <w:i/>
          <w:iCs/>
          <w:lang w:val="sq-AL"/>
        </w:rPr>
        <w:t>, President</w:t>
      </w:r>
      <w:r w:rsidRPr="007C1C8B">
        <w:rPr>
          <w:rFonts w:ascii="Garamond" w:hAnsi="Garamond"/>
          <w:lang w:val="sq-AL"/>
        </w:rPr>
        <w:t>,</w:t>
      </w:r>
    </w:p>
    <w:p w14:paraId="051E1766" w14:textId="40D4EB84" w:rsidR="00692AE6" w:rsidRPr="007C1C8B" w:rsidRDefault="00692AE6" w:rsidP="00692AE6">
      <w:pPr>
        <w:pStyle w:val="JuJudges"/>
        <w:tabs>
          <w:tab w:val="left" w:pos="280"/>
        </w:tabs>
        <w:ind w:firstLine="284"/>
        <w:jc w:val="both"/>
        <w:rPr>
          <w:rFonts w:ascii="Garamond" w:hAnsi="Garamond"/>
          <w:lang w:val="sq-AL"/>
        </w:rPr>
      </w:pPr>
      <w:r w:rsidRPr="007C1C8B">
        <w:rPr>
          <w:rFonts w:ascii="Garamond" w:hAnsi="Garamond"/>
          <w:lang w:val="sq-AL"/>
        </w:rPr>
        <w:t xml:space="preserve"> Darian Pavli,</w:t>
      </w:r>
    </w:p>
    <w:p w14:paraId="6E7465FD" w14:textId="5179FBC1" w:rsidR="00692AE6" w:rsidRPr="007C1C8B" w:rsidRDefault="00692AE6" w:rsidP="00692AE6">
      <w:pPr>
        <w:pStyle w:val="JuJudges"/>
        <w:tabs>
          <w:tab w:val="left" w:pos="280"/>
        </w:tabs>
        <w:ind w:firstLine="284"/>
        <w:jc w:val="both"/>
        <w:rPr>
          <w:rFonts w:ascii="Garamond" w:hAnsi="Garamond"/>
          <w:lang w:val="sq-AL"/>
        </w:rPr>
      </w:pPr>
      <w:r w:rsidRPr="007C1C8B">
        <w:rPr>
          <w:rFonts w:ascii="Garamond" w:hAnsi="Garamond"/>
          <w:lang w:val="sq-AL"/>
        </w:rPr>
        <w:t xml:space="preserve"> Oddný Mjöll Arnardóttir</w:t>
      </w:r>
      <w:r w:rsidRPr="007C1C8B">
        <w:rPr>
          <w:rFonts w:ascii="Garamond" w:hAnsi="Garamond"/>
          <w:i/>
          <w:iCs/>
          <w:lang w:val="sq-AL"/>
        </w:rPr>
        <w:t>, gjyqtarë</w:t>
      </w:r>
      <w:r w:rsidRPr="007C1C8B">
        <w:rPr>
          <w:rFonts w:ascii="Garamond" w:hAnsi="Garamond"/>
          <w:lang w:val="sq-AL"/>
        </w:rPr>
        <w:t>,</w:t>
      </w:r>
    </w:p>
    <w:p w14:paraId="0279951F" w14:textId="0F40E78C" w:rsidR="00692AE6" w:rsidRPr="007C1C8B" w:rsidRDefault="00692AE6" w:rsidP="00692AE6">
      <w:pPr>
        <w:pStyle w:val="JuJudges"/>
        <w:ind w:firstLine="284"/>
        <w:jc w:val="both"/>
        <w:rPr>
          <w:rFonts w:ascii="Garamond" w:hAnsi="Garamond"/>
          <w:lang w:val="sq-AL"/>
        </w:rPr>
      </w:pPr>
      <w:r w:rsidRPr="007C1C8B">
        <w:rPr>
          <w:rFonts w:ascii="Garamond" w:hAnsi="Garamond"/>
          <w:lang w:val="sq-AL"/>
        </w:rPr>
        <w:t xml:space="preserve">dhe Viktoriya Maradudina, </w:t>
      </w:r>
      <w:r w:rsidR="000B212B" w:rsidRPr="007C1C8B">
        <w:rPr>
          <w:rFonts w:ascii="Garamond" w:hAnsi="Garamond"/>
          <w:i/>
          <w:iCs/>
          <w:lang w:val="sq-AL"/>
        </w:rPr>
        <w:t xml:space="preserve">zëvendëskancelare </w:t>
      </w:r>
      <w:r w:rsidRPr="007C1C8B">
        <w:rPr>
          <w:rFonts w:ascii="Garamond" w:hAnsi="Garamond"/>
          <w:i/>
          <w:iCs/>
          <w:lang w:val="sq-AL"/>
        </w:rPr>
        <w:t>në detyrë e Seksionit,</w:t>
      </w:r>
    </w:p>
    <w:p w14:paraId="0D5A83A2" w14:textId="14D61519" w:rsidR="00692AE6" w:rsidRPr="007C1C8B" w:rsidRDefault="00692AE6" w:rsidP="00692AE6">
      <w:pPr>
        <w:pStyle w:val="JuPara"/>
        <w:tabs>
          <w:tab w:val="left" w:pos="360"/>
        </w:tabs>
        <w:ind w:firstLine="284"/>
        <w:rPr>
          <w:rFonts w:ascii="Garamond" w:hAnsi="Garamond"/>
          <w:lang w:val="sq-AL"/>
        </w:rPr>
      </w:pPr>
      <w:r w:rsidRPr="007C1C8B">
        <w:rPr>
          <w:rFonts w:ascii="Garamond" w:hAnsi="Garamond"/>
          <w:lang w:val="sq-AL"/>
        </w:rPr>
        <w:t>Duke pasur parasysh kërkesën më sipër të depozituar më 31 korrik 2012,</w:t>
      </w:r>
    </w:p>
    <w:p w14:paraId="64788843" w14:textId="4E3480E2" w:rsidR="00692AE6" w:rsidRPr="007C1C8B" w:rsidRDefault="00692AE6" w:rsidP="00692AE6">
      <w:pPr>
        <w:pStyle w:val="JuPara"/>
        <w:tabs>
          <w:tab w:val="left" w:pos="360"/>
        </w:tabs>
        <w:ind w:firstLine="284"/>
        <w:rPr>
          <w:rFonts w:ascii="Garamond" w:hAnsi="Garamond"/>
          <w:lang w:val="sq-AL"/>
        </w:rPr>
      </w:pPr>
      <w:r w:rsidRPr="007C1C8B">
        <w:rPr>
          <w:rFonts w:ascii="Garamond" w:hAnsi="Garamond"/>
          <w:lang w:val="sq-AL"/>
        </w:rPr>
        <w:t>Duke pasur parasysh deklaratën e paraqitur nga Qeveria e paditur ku kërkon që Gjykata të çregjistrojë kërkesën nga lista e çështjeve,</w:t>
      </w:r>
    </w:p>
    <w:p w14:paraId="7F105BD6" w14:textId="59518538" w:rsidR="00692AE6" w:rsidRPr="007C1C8B" w:rsidRDefault="00692AE6" w:rsidP="00692AE6">
      <w:pPr>
        <w:pStyle w:val="JuPara"/>
        <w:tabs>
          <w:tab w:val="left" w:pos="360"/>
        </w:tabs>
        <w:ind w:firstLine="284"/>
        <w:rPr>
          <w:rFonts w:ascii="Garamond" w:hAnsi="Garamond"/>
          <w:lang w:val="sq-AL"/>
        </w:rPr>
      </w:pPr>
      <w:r w:rsidRPr="007C1C8B">
        <w:rPr>
          <w:rFonts w:ascii="Garamond" w:hAnsi="Garamond"/>
          <w:lang w:val="sq-AL"/>
        </w:rPr>
        <w:t>Pas diskutimit, vendosi si më poshtë:</w:t>
      </w:r>
    </w:p>
    <w:p w14:paraId="064D260E" w14:textId="77777777" w:rsidR="0047451F" w:rsidRDefault="0047451F" w:rsidP="00692AE6">
      <w:pPr>
        <w:pStyle w:val="JuPara"/>
        <w:tabs>
          <w:tab w:val="left" w:pos="360"/>
        </w:tabs>
        <w:ind w:firstLine="284"/>
        <w:rPr>
          <w:rFonts w:ascii="Garamond" w:hAnsi="Garamond"/>
          <w:lang w:val="sq-AL"/>
        </w:rPr>
      </w:pPr>
    </w:p>
    <w:p w14:paraId="31A0175B" w14:textId="0651AC56" w:rsidR="00692AE6" w:rsidRPr="007C1C8B" w:rsidRDefault="00692AE6" w:rsidP="00692AE6">
      <w:pPr>
        <w:pStyle w:val="JuPara"/>
        <w:tabs>
          <w:tab w:val="left" w:pos="360"/>
        </w:tabs>
        <w:ind w:firstLine="284"/>
        <w:rPr>
          <w:rFonts w:ascii="Garamond" w:hAnsi="Garamond"/>
          <w:caps/>
          <w:lang w:val="sq-AL"/>
        </w:rPr>
      </w:pPr>
      <w:r w:rsidRPr="007C1C8B">
        <w:rPr>
          <w:rFonts w:ascii="Garamond" w:hAnsi="Garamond"/>
          <w:caps/>
          <w:lang w:val="sq-AL"/>
        </w:rPr>
        <w:t>FAKTE DHE PROCEDURA</w:t>
      </w:r>
    </w:p>
    <w:p w14:paraId="65ACC636" w14:textId="670FB276" w:rsidR="00692AE6" w:rsidRPr="007C1C8B" w:rsidRDefault="00692AE6" w:rsidP="00692AE6">
      <w:pPr>
        <w:pStyle w:val="JuPara"/>
        <w:tabs>
          <w:tab w:val="left" w:pos="360"/>
        </w:tabs>
        <w:ind w:firstLine="284"/>
        <w:rPr>
          <w:rFonts w:ascii="Garamond" w:hAnsi="Garamond"/>
          <w:lang w:val="sq-AL"/>
        </w:rPr>
      </w:pPr>
      <w:r w:rsidRPr="007C1C8B">
        <w:rPr>
          <w:rFonts w:ascii="Garamond" w:hAnsi="Garamond"/>
          <w:lang w:val="sq-AL"/>
        </w:rPr>
        <w:t>Detajet e kërkuesit jepen në tabelën bashkëngjitur.</w:t>
      </w:r>
    </w:p>
    <w:p w14:paraId="303D02C0" w14:textId="6BB0DE5F" w:rsidR="00692AE6" w:rsidRPr="007C1C8B" w:rsidRDefault="00692AE6" w:rsidP="00692AE6">
      <w:pPr>
        <w:pStyle w:val="JuPara"/>
        <w:tabs>
          <w:tab w:val="left" w:pos="360"/>
        </w:tabs>
        <w:ind w:firstLine="284"/>
        <w:rPr>
          <w:rFonts w:ascii="Garamond" w:hAnsi="Garamond"/>
          <w:lang w:val="sq-AL"/>
        </w:rPr>
      </w:pPr>
      <w:r w:rsidRPr="007C1C8B">
        <w:rPr>
          <w:rFonts w:ascii="Garamond" w:hAnsi="Garamond"/>
          <w:lang w:val="sq-AL"/>
        </w:rPr>
        <w:t>Ankimet e kërkuesit sipas nenit 6 § 1 dhe nenit 13 të Konventës në lidhje me tejkalimin e kohëzgjatjes së procesit civil dhe mungesën e mjeteve të efektshme ligjore i janë komunikuar qeverisë shqiptare (“Qeveria”).</w:t>
      </w:r>
    </w:p>
    <w:p w14:paraId="023E4D43" w14:textId="77777777" w:rsidR="0047451F" w:rsidRDefault="0047451F" w:rsidP="00692AE6">
      <w:pPr>
        <w:pStyle w:val="JuPara"/>
        <w:tabs>
          <w:tab w:val="left" w:pos="360"/>
        </w:tabs>
        <w:ind w:firstLine="284"/>
        <w:rPr>
          <w:rFonts w:ascii="Garamond" w:hAnsi="Garamond"/>
          <w:lang w:val="sq-AL"/>
        </w:rPr>
      </w:pPr>
    </w:p>
    <w:p w14:paraId="2F9F4044" w14:textId="27444CAD" w:rsidR="00692AE6" w:rsidRPr="007C1C8B" w:rsidRDefault="00692AE6" w:rsidP="00692AE6">
      <w:pPr>
        <w:pStyle w:val="JuPara"/>
        <w:tabs>
          <w:tab w:val="left" w:pos="360"/>
        </w:tabs>
        <w:ind w:firstLine="284"/>
        <w:rPr>
          <w:rFonts w:ascii="Garamond" w:hAnsi="Garamond"/>
          <w:caps/>
          <w:lang w:val="sq-AL"/>
        </w:rPr>
      </w:pPr>
      <w:r w:rsidRPr="007C1C8B">
        <w:rPr>
          <w:rFonts w:ascii="Garamond" w:hAnsi="Garamond"/>
          <w:caps/>
          <w:lang w:val="sq-AL"/>
        </w:rPr>
        <w:t>LEGJISLACIONI</w:t>
      </w:r>
    </w:p>
    <w:p w14:paraId="0B71333E" w14:textId="66DBEA0A" w:rsidR="00692AE6" w:rsidRPr="007C1C8B" w:rsidRDefault="00692AE6" w:rsidP="00692AE6">
      <w:pPr>
        <w:pStyle w:val="JuPara"/>
        <w:ind w:firstLine="284"/>
        <w:rPr>
          <w:rFonts w:ascii="Garamond" w:hAnsi="Garamond"/>
          <w:lang w:val="sq-AL"/>
        </w:rPr>
      </w:pPr>
      <w:r w:rsidRPr="007C1C8B">
        <w:rPr>
          <w:rFonts w:ascii="Garamond" w:hAnsi="Garamond"/>
          <w:lang w:val="sq-AL"/>
        </w:rPr>
        <w:t>Pas negociimit të pasuksesshëm për zgjidhje miqësore, më 5 prill 2023, Qeveria informoi Gjykatën që propozonte të bënte një deklaratë të njëanshme me qëllim zgjidhjen e problemeve të ngritura në këto ankime. Ajo më tej i kërkoi Gjykatës të çregjistronte kërkesën në përputhje me nenin 37 të Konventës.</w:t>
      </w:r>
    </w:p>
    <w:p w14:paraId="10C79064" w14:textId="229B18DB" w:rsidR="00692AE6" w:rsidRPr="007C1C8B" w:rsidRDefault="00692AE6" w:rsidP="00692AE6">
      <w:pPr>
        <w:pStyle w:val="JuPara"/>
        <w:ind w:firstLine="284"/>
        <w:rPr>
          <w:rFonts w:ascii="Garamond" w:hAnsi="Garamond"/>
          <w:lang w:val="sq-AL"/>
        </w:rPr>
      </w:pPr>
      <w:r w:rsidRPr="007C1C8B">
        <w:rPr>
          <w:rFonts w:ascii="Garamond" w:hAnsi="Garamond"/>
          <w:lang w:val="sq-AL"/>
        </w:rPr>
        <w:t>Qeveria pranoi kohëzgjatjen e tejkaluar të procesit civil. Ajo</w:t>
      </w:r>
      <w:r w:rsidR="00126853">
        <w:rPr>
          <w:rFonts w:ascii="Garamond" w:hAnsi="Garamond"/>
          <w:lang w:val="sq-AL"/>
        </w:rPr>
        <w:t>,</w:t>
      </w:r>
      <w:r w:rsidRPr="007C1C8B">
        <w:rPr>
          <w:rFonts w:ascii="Garamond" w:hAnsi="Garamond"/>
          <w:lang w:val="sq-AL"/>
        </w:rPr>
        <w:t xml:space="preserve"> gjithashtu</w:t>
      </w:r>
      <w:r w:rsidR="00126853">
        <w:rPr>
          <w:rFonts w:ascii="Garamond" w:hAnsi="Garamond"/>
          <w:lang w:val="sq-AL"/>
        </w:rPr>
        <w:t>,</w:t>
      </w:r>
      <w:r w:rsidRPr="007C1C8B">
        <w:rPr>
          <w:rFonts w:ascii="Garamond" w:hAnsi="Garamond"/>
          <w:lang w:val="sq-AL"/>
        </w:rPr>
        <w:t xml:space="preserve"> pranoi që autoritetet e brendshme kishin cenuar të drejtat e kërkuesit të garantuara me nenin 13 të Konventës. Ajo u ofrua që t’i paguajë kërkuesit shumat e detajuara në tabelën bashkëngjitur dhe ftoi Gjykatën të çregjistrojë kërkesën nga lista e çështjeve në përputhje me nenin 37 § 1 (c) të Konventës. Shumat do të konvertoheshin në monedhën e Shtetit të paditur me kursin e këmbimit të datës së pagesës dhe do të paguheshin brenda tre muajve nga data e njoftimit të vendimit të Gjykatës. Në rast të mospagimit të këtyre shumave brenda periudhës së lartpërmendur tre mujore, Qeveria mori përsipër të paguajë një kamat</w:t>
      </w:r>
      <w:r w:rsidR="007C1C8B" w:rsidRPr="007C1C8B">
        <w:rPr>
          <w:rFonts w:ascii="Garamond" w:hAnsi="Garamond"/>
          <w:lang w:val="sq-AL"/>
        </w:rPr>
        <w:t>ë</w:t>
      </w:r>
      <w:r w:rsidRPr="007C1C8B">
        <w:rPr>
          <w:rFonts w:ascii="Garamond" w:hAnsi="Garamond"/>
          <w:lang w:val="sq-AL"/>
        </w:rPr>
        <w:t>vonesë të thjeshtë nga mbarimi i kësaj periudhe deri në momentin e shlyerjes, me një normë të barabartë me normën e huadhënies marxhinale të Bankës Qend</w:t>
      </w:r>
      <w:r w:rsidR="00AA5403" w:rsidRPr="007C1C8B">
        <w:rPr>
          <w:rFonts w:ascii="Garamond" w:hAnsi="Garamond"/>
          <w:lang w:val="sq-AL"/>
        </w:rPr>
        <w:t>r</w:t>
      </w:r>
      <w:r w:rsidRPr="007C1C8B">
        <w:rPr>
          <w:rFonts w:ascii="Garamond" w:hAnsi="Garamond"/>
          <w:lang w:val="sq-AL"/>
        </w:rPr>
        <w:t>ore E</w:t>
      </w:r>
      <w:r w:rsidR="00AA5403" w:rsidRPr="007C1C8B">
        <w:rPr>
          <w:rFonts w:ascii="Garamond" w:hAnsi="Garamond"/>
          <w:lang w:val="sq-AL"/>
        </w:rPr>
        <w:t>v</w:t>
      </w:r>
      <w:r w:rsidRPr="007C1C8B">
        <w:rPr>
          <w:rFonts w:ascii="Garamond" w:hAnsi="Garamond"/>
          <w:lang w:val="sq-AL"/>
        </w:rPr>
        <w:t>ropiane gjatë periudhës së mospagimit plus tre pikë përqindje.</w:t>
      </w:r>
    </w:p>
    <w:p w14:paraId="52FB0F03" w14:textId="2E37BB05" w:rsidR="00692AE6" w:rsidRPr="007C1C8B" w:rsidRDefault="00692AE6" w:rsidP="00692AE6">
      <w:pPr>
        <w:pStyle w:val="JuPara"/>
        <w:ind w:firstLine="284"/>
        <w:rPr>
          <w:rFonts w:ascii="Garamond" w:hAnsi="Garamond"/>
          <w:lang w:val="sq-AL"/>
        </w:rPr>
      </w:pPr>
      <w:r w:rsidRPr="007C1C8B">
        <w:rPr>
          <w:rFonts w:ascii="Garamond" w:hAnsi="Garamond"/>
          <w:lang w:val="sq-AL"/>
        </w:rPr>
        <w:t>Pagesa do të përbëjë zgjidhjen përfundimtare të çështjes.</w:t>
      </w:r>
    </w:p>
    <w:p w14:paraId="047BD942" w14:textId="5933251A" w:rsidR="00692AE6" w:rsidRPr="007C1C8B" w:rsidRDefault="00692AE6" w:rsidP="00692AE6">
      <w:pPr>
        <w:pStyle w:val="JuPara"/>
        <w:ind w:firstLine="284"/>
        <w:rPr>
          <w:rFonts w:ascii="Garamond" w:hAnsi="Garamond"/>
          <w:lang w:val="sq-AL"/>
        </w:rPr>
      </w:pPr>
      <w:r w:rsidRPr="007C1C8B">
        <w:rPr>
          <w:rFonts w:ascii="Garamond" w:hAnsi="Garamond"/>
          <w:lang w:val="sq-AL"/>
        </w:rPr>
        <w:t>Kërkuesit ju dërguan kushtet e deklaratës së njëanshme të Qeverisë disa javë përpara datës së këtij vendimi. Gjykata nuk ka marrë përgjigje nga kërkuesi për pranimin e kushteve të deklaratës.</w:t>
      </w:r>
    </w:p>
    <w:p w14:paraId="1E4A736C" w14:textId="085A042A" w:rsidR="00692AE6" w:rsidRPr="007C1C8B" w:rsidRDefault="00692AE6" w:rsidP="00692AE6">
      <w:pPr>
        <w:pStyle w:val="JuPara"/>
        <w:ind w:firstLine="284"/>
        <w:rPr>
          <w:rFonts w:ascii="Garamond" w:hAnsi="Garamond"/>
          <w:lang w:val="sq-AL"/>
        </w:rPr>
      </w:pPr>
      <w:r w:rsidRPr="007C1C8B">
        <w:rPr>
          <w:rFonts w:ascii="Garamond" w:hAnsi="Garamond"/>
          <w:lang w:val="sq-AL"/>
        </w:rPr>
        <w:t>Gjykata vëren që neni 37 § 1 (c) e bën të mundur çregjistrimin e një çështjeje nga lista e saj nëse:</w:t>
      </w:r>
    </w:p>
    <w:p w14:paraId="4E75CFC8" w14:textId="2149B27D" w:rsidR="00692AE6" w:rsidRPr="007C1C8B" w:rsidRDefault="00692AE6" w:rsidP="00692AE6">
      <w:pPr>
        <w:pStyle w:val="JuQuot"/>
        <w:spacing w:before="0" w:after="0"/>
        <w:ind w:left="0" w:firstLine="284"/>
        <w:rPr>
          <w:rFonts w:ascii="Garamond" w:hAnsi="Garamond"/>
          <w:sz w:val="24"/>
          <w:szCs w:val="24"/>
          <w:lang w:val="sq-AL"/>
        </w:rPr>
      </w:pPr>
      <w:r w:rsidRPr="007C1C8B">
        <w:rPr>
          <w:rFonts w:ascii="Garamond" w:hAnsi="Garamond"/>
          <w:sz w:val="24"/>
          <w:szCs w:val="24"/>
          <w:lang w:val="sq-AL"/>
        </w:rPr>
        <w:t>“... për çdo arsye tjetër që, sipas Gjykatës, nuk justifikon</w:t>
      </w:r>
      <w:r w:rsidR="008C6CC4">
        <w:rPr>
          <w:rFonts w:ascii="Garamond" w:hAnsi="Garamond"/>
          <w:sz w:val="24"/>
          <w:szCs w:val="24"/>
          <w:lang w:val="sq-AL"/>
        </w:rPr>
        <w:t xml:space="preserve"> </w:t>
      </w:r>
      <w:r w:rsidRPr="007C1C8B">
        <w:rPr>
          <w:rFonts w:ascii="Garamond" w:hAnsi="Garamond"/>
          <w:sz w:val="24"/>
          <w:szCs w:val="24"/>
          <w:lang w:val="sq-AL"/>
        </w:rPr>
        <w:t>vazhdimin e shqyrtimit të kërkesës”.</w:t>
      </w:r>
    </w:p>
    <w:p w14:paraId="18B11CBA" w14:textId="7CC3D0D7" w:rsidR="00692AE6" w:rsidRPr="007C1C8B" w:rsidRDefault="00692AE6" w:rsidP="00692AE6">
      <w:pPr>
        <w:pStyle w:val="JuPara"/>
        <w:ind w:firstLine="284"/>
        <w:rPr>
          <w:rFonts w:ascii="Garamond" w:hAnsi="Garamond"/>
          <w:lang w:val="sq-AL"/>
        </w:rPr>
      </w:pPr>
      <w:r w:rsidRPr="007C1C8B">
        <w:rPr>
          <w:rFonts w:ascii="Garamond" w:hAnsi="Garamond"/>
          <w:lang w:val="sq-AL"/>
        </w:rPr>
        <w:lastRenderedPageBreak/>
        <w:t xml:space="preserve">Prandaj, ajo mund të çregjistrojë kërkesën sipas nenit 37 § 1 (c) bazuar në një deklaratë të njëanshme nga një Qeveri e paditur edhe nëse kërkuesi dëshiron vazhdimin e shqyrtimit të çështjes (shihni në veçanti, </w:t>
      </w:r>
      <w:r w:rsidRPr="007C1C8B">
        <w:rPr>
          <w:rFonts w:ascii="Garamond" w:hAnsi="Garamond"/>
          <w:i/>
          <w:iCs/>
          <w:lang w:val="sq-AL"/>
        </w:rPr>
        <w:t xml:space="preserve">çështja Tahsin Acar kundër Turqisë </w:t>
      </w:r>
      <w:r w:rsidRPr="007C1C8B">
        <w:rPr>
          <w:rFonts w:ascii="Garamond" w:hAnsi="Garamond"/>
          <w:lang w:val="sq-AL"/>
        </w:rPr>
        <w:t>vendimi (kundërshtime paraprake) [GC], nr. 26307/95, §§ 75 77, GJEDNJ 2003-VI).</w:t>
      </w:r>
    </w:p>
    <w:p w14:paraId="5DA7C2B7" w14:textId="7D83B157" w:rsidR="00692AE6" w:rsidRPr="007C1C8B" w:rsidRDefault="00692AE6" w:rsidP="00692AE6">
      <w:pPr>
        <w:pStyle w:val="JuPara"/>
        <w:ind w:firstLine="284"/>
        <w:rPr>
          <w:rFonts w:ascii="Garamond" w:hAnsi="Garamond"/>
          <w:lang w:val="sq-AL"/>
        </w:rPr>
      </w:pPr>
      <w:r w:rsidRPr="007C1C8B">
        <w:rPr>
          <w:rFonts w:ascii="Garamond" w:hAnsi="Garamond"/>
          <w:lang w:val="sq-AL"/>
        </w:rPr>
        <w:t xml:space="preserve">Gjykata ka krijuar praktikë gjyqësore të qartë dhe të gjerë në lidhje me ankimet për tejkalimin e kohëzgjatjes së proceseve civile (shihni për shembull, </w:t>
      </w:r>
      <w:r w:rsidRPr="007C1C8B">
        <w:rPr>
          <w:rFonts w:ascii="Garamond" w:hAnsi="Garamond"/>
          <w:i/>
          <w:iCs/>
          <w:lang w:val="sq-AL"/>
        </w:rPr>
        <w:t xml:space="preserve">çështja Luli dhe të tjerët kundër Shqipërisë, </w:t>
      </w:r>
      <w:r w:rsidRPr="007C1C8B">
        <w:rPr>
          <w:rFonts w:ascii="Garamond" w:hAnsi="Garamond"/>
          <w:lang w:val="sq-AL"/>
        </w:rPr>
        <w:t xml:space="preserve">nr. 64480/09 dhe të tjera, 1 prill 2014, dhe </w:t>
      </w:r>
      <w:r w:rsidRPr="007C1C8B">
        <w:rPr>
          <w:rFonts w:ascii="Garamond" w:hAnsi="Garamond"/>
          <w:i/>
          <w:iCs/>
          <w:lang w:val="sq-AL"/>
        </w:rPr>
        <w:t xml:space="preserve">çështja Mishgjoni kundër Shqipërisë, </w:t>
      </w:r>
      <w:r w:rsidRPr="007C1C8B">
        <w:rPr>
          <w:rFonts w:ascii="Garamond" w:hAnsi="Garamond"/>
          <w:lang w:val="sq-AL"/>
        </w:rPr>
        <w:t>nr. 18381/05, 7 dhjetor 2010).</w:t>
      </w:r>
    </w:p>
    <w:p w14:paraId="07E5DAB3" w14:textId="07A61B13" w:rsidR="00692AE6" w:rsidRPr="007C1C8B" w:rsidRDefault="00692AE6" w:rsidP="00692AE6">
      <w:pPr>
        <w:pStyle w:val="JuPara"/>
        <w:ind w:firstLine="284"/>
        <w:rPr>
          <w:rFonts w:ascii="Garamond" w:hAnsi="Garamond"/>
          <w:lang w:val="sq-AL"/>
        </w:rPr>
      </w:pPr>
      <w:r w:rsidRPr="007C1C8B">
        <w:rPr>
          <w:rFonts w:ascii="Garamond" w:hAnsi="Garamond"/>
          <w:lang w:val="sq-AL"/>
        </w:rPr>
        <w:t xml:space="preserve">Duke vërejtur pranimet që përmban deklarata e Qeverisë si edhe shumën e propozuar të kompensimit - që është në përputhje me shumat e dhëna në çështje të ngjashme </w:t>
      </w:r>
      <w:r w:rsidR="0095571D">
        <w:rPr>
          <w:rFonts w:ascii="Garamond" w:hAnsi="Garamond"/>
          <w:lang w:val="sq-AL"/>
        </w:rPr>
        <w:t>–</w:t>
      </w:r>
      <w:r w:rsidRPr="007C1C8B">
        <w:rPr>
          <w:rFonts w:ascii="Garamond" w:hAnsi="Garamond"/>
          <w:lang w:val="sq-AL"/>
        </w:rPr>
        <w:t xml:space="preserve"> Gjykata</w:t>
      </w:r>
      <w:r w:rsidR="0095571D">
        <w:rPr>
          <w:rFonts w:ascii="Garamond" w:hAnsi="Garamond"/>
          <w:lang w:val="sq-AL"/>
        </w:rPr>
        <w:t xml:space="preserve"> </w:t>
      </w:r>
      <w:r w:rsidRPr="007C1C8B">
        <w:rPr>
          <w:rFonts w:ascii="Garamond" w:hAnsi="Garamond"/>
          <w:lang w:val="sq-AL"/>
        </w:rPr>
        <w:t>konsideron që nuk justifikohet më tej vazhdimi i shqyrtimit të kërkesës (</w:t>
      </w:r>
      <w:r w:rsidR="00AA5403" w:rsidRPr="007C1C8B">
        <w:rPr>
          <w:rFonts w:ascii="Garamond" w:hAnsi="Garamond"/>
          <w:lang w:val="sq-AL"/>
        </w:rPr>
        <w:t>n</w:t>
      </w:r>
      <w:r w:rsidRPr="007C1C8B">
        <w:rPr>
          <w:rFonts w:ascii="Garamond" w:hAnsi="Garamond"/>
          <w:lang w:val="sq-AL"/>
        </w:rPr>
        <w:t>eni 37 § 1 (c)).</w:t>
      </w:r>
    </w:p>
    <w:p w14:paraId="1803ADF1" w14:textId="182EBE6A" w:rsidR="00692AE6" w:rsidRPr="007C1C8B" w:rsidRDefault="00692AE6" w:rsidP="00692AE6">
      <w:pPr>
        <w:pStyle w:val="JuPara"/>
        <w:ind w:firstLine="284"/>
        <w:rPr>
          <w:rFonts w:ascii="Garamond" w:hAnsi="Garamond"/>
          <w:lang w:val="sq-AL"/>
        </w:rPr>
      </w:pPr>
      <w:r w:rsidRPr="007C1C8B">
        <w:rPr>
          <w:rFonts w:ascii="Garamond" w:hAnsi="Garamond"/>
          <w:lang w:val="sq-AL"/>
        </w:rPr>
        <w:t xml:space="preserve">Nisur nga konsideratat e mësipërme, Gjykata është e bindur që respektimi i të drejtave të njeriut siç përcaktohet në Konventë dhe </w:t>
      </w:r>
      <w:r w:rsidR="00140725">
        <w:rPr>
          <w:rFonts w:ascii="Garamond" w:hAnsi="Garamond"/>
          <w:lang w:val="sq-AL"/>
        </w:rPr>
        <w:t>p</w:t>
      </w:r>
      <w:r w:rsidRPr="007C1C8B">
        <w:rPr>
          <w:rFonts w:ascii="Garamond" w:hAnsi="Garamond"/>
          <w:lang w:val="sq-AL"/>
        </w:rPr>
        <w:t xml:space="preserve">rotokollet e saj nuk kërkon që ajo të vazhdojë të shqyrtojë kërkesën (neni 37 § 1 </w:t>
      </w:r>
      <w:r w:rsidRPr="007C1C8B">
        <w:rPr>
          <w:rFonts w:ascii="Garamond" w:hAnsi="Garamond"/>
          <w:i/>
          <w:iCs/>
          <w:lang w:val="sq-AL"/>
        </w:rPr>
        <w:t>in fine</w:t>
      </w:r>
      <w:r w:rsidRPr="007C1C8B">
        <w:rPr>
          <w:rFonts w:ascii="Garamond" w:hAnsi="Garamond"/>
          <w:lang w:val="sq-AL"/>
        </w:rPr>
        <w:t>).</w:t>
      </w:r>
    </w:p>
    <w:p w14:paraId="6034B0C5" w14:textId="0B90BDC5" w:rsidR="00692AE6" w:rsidRPr="007C1C8B" w:rsidRDefault="00692AE6" w:rsidP="00692AE6">
      <w:pPr>
        <w:pStyle w:val="JuPara"/>
        <w:ind w:firstLine="284"/>
        <w:rPr>
          <w:rFonts w:ascii="Garamond" w:hAnsi="Garamond"/>
          <w:lang w:val="sq-AL"/>
        </w:rPr>
      </w:pPr>
      <w:r w:rsidRPr="007C1C8B">
        <w:rPr>
          <w:rFonts w:ascii="Garamond" w:hAnsi="Garamond"/>
          <w:lang w:val="sq-AL"/>
        </w:rPr>
        <w:t xml:space="preserve">Në përfundim, Gjykata thekson që nëse Qeveria nuk përmbush kushtet e deklaratës së saj të njëanshme, kërkesa mund të futet përsëri në listë në përputhje me nenin 37 § 2 të Konventës (shihni </w:t>
      </w:r>
      <w:r w:rsidRPr="007C1C8B">
        <w:rPr>
          <w:rFonts w:ascii="Garamond" w:hAnsi="Garamond" w:cs="Times New Roman"/>
          <w:i/>
          <w:iCs/>
          <w:lang w:val="sq-AL"/>
        </w:rPr>
        <w:t>çështja Josipović kundër Serbisë</w:t>
      </w:r>
      <w:r w:rsidRPr="007C1C8B">
        <w:rPr>
          <w:rFonts w:ascii="Garamond" w:hAnsi="Garamond"/>
          <w:lang w:val="sq-AL"/>
        </w:rPr>
        <w:t xml:space="preserve"> (dec.), nr. 18369/07, 4 mars 2008).</w:t>
      </w:r>
    </w:p>
    <w:p w14:paraId="606E5493" w14:textId="18986E43" w:rsidR="00692AE6" w:rsidRPr="007C1C8B" w:rsidRDefault="00692AE6" w:rsidP="00692AE6">
      <w:pPr>
        <w:pStyle w:val="JuPara"/>
        <w:ind w:firstLine="284"/>
        <w:rPr>
          <w:rFonts w:ascii="Garamond" w:hAnsi="Garamond"/>
          <w:lang w:val="sq-AL"/>
        </w:rPr>
      </w:pPr>
      <w:r w:rsidRPr="007C1C8B">
        <w:rPr>
          <w:rFonts w:ascii="Garamond" w:hAnsi="Garamond"/>
          <w:lang w:val="sq-AL"/>
        </w:rPr>
        <w:t>Nisur nga sa më lart, është me vend çregjistrimi i çështjes nga lista.</w:t>
      </w:r>
    </w:p>
    <w:p w14:paraId="03AF7189" w14:textId="2BCDB7A3" w:rsidR="00692AE6" w:rsidRPr="007C1C8B" w:rsidRDefault="00692AE6" w:rsidP="00692AE6">
      <w:pPr>
        <w:pStyle w:val="JuParaLast"/>
        <w:keepNext w:val="0"/>
        <w:keepLines w:val="0"/>
        <w:spacing w:before="0" w:after="0"/>
        <w:ind w:firstLine="284"/>
        <w:rPr>
          <w:rFonts w:ascii="Garamond" w:hAnsi="Garamond"/>
          <w:lang w:val="sq-AL"/>
        </w:rPr>
      </w:pPr>
      <w:r w:rsidRPr="007C1C8B">
        <w:rPr>
          <w:rFonts w:ascii="Garamond" w:hAnsi="Garamond"/>
          <w:lang w:val="sq-AL"/>
        </w:rPr>
        <w:t>Për këto arsye, Gjykata, unanimisht,</w:t>
      </w:r>
    </w:p>
    <w:p w14:paraId="7CA337FC" w14:textId="32921B57" w:rsidR="00692AE6" w:rsidRPr="007C1C8B" w:rsidRDefault="00692AE6" w:rsidP="00692AE6">
      <w:pPr>
        <w:pStyle w:val="DecList"/>
        <w:spacing w:before="0" w:after="0"/>
        <w:ind w:left="0" w:firstLine="284"/>
        <w:rPr>
          <w:rFonts w:ascii="Garamond" w:hAnsi="Garamond"/>
          <w:lang w:val="sq-AL"/>
        </w:rPr>
      </w:pPr>
      <w:r w:rsidRPr="007C1C8B">
        <w:rPr>
          <w:rFonts w:ascii="Garamond" w:hAnsi="Garamond"/>
          <w:i/>
          <w:iCs/>
          <w:lang w:val="sq-AL"/>
        </w:rPr>
        <w:t>mban parasysh</w:t>
      </w:r>
      <w:r w:rsidRPr="007C1C8B">
        <w:rPr>
          <w:rFonts w:ascii="Garamond" w:hAnsi="Garamond"/>
          <w:lang w:val="sq-AL"/>
        </w:rPr>
        <w:t xml:space="preserve"> kushtet e deklaratës së Qeverisë së paditur dhe të rregullimeve për të siguruar përmbushjen e angazhimeve të përmendura në të;</w:t>
      </w:r>
    </w:p>
    <w:p w14:paraId="1CA7A6A0" w14:textId="71E33626" w:rsidR="00692AE6" w:rsidRPr="007C1C8B" w:rsidRDefault="00692AE6" w:rsidP="00692AE6">
      <w:pPr>
        <w:pStyle w:val="DecList"/>
        <w:spacing w:before="0" w:after="0"/>
        <w:ind w:left="0" w:firstLine="284"/>
        <w:rPr>
          <w:rFonts w:ascii="Garamond" w:hAnsi="Garamond"/>
          <w:lang w:val="sq-AL"/>
        </w:rPr>
      </w:pPr>
      <w:r w:rsidRPr="007C1C8B">
        <w:rPr>
          <w:rFonts w:ascii="Garamond" w:hAnsi="Garamond"/>
          <w:i/>
          <w:iCs/>
          <w:lang w:val="sq-AL"/>
        </w:rPr>
        <w:t>vendos</w:t>
      </w:r>
      <w:r w:rsidRPr="007C1C8B">
        <w:rPr>
          <w:rFonts w:ascii="Garamond" w:hAnsi="Garamond"/>
          <w:lang w:val="sq-AL"/>
        </w:rPr>
        <w:t xml:space="preserve"> të çregjistrojë kërkesën nga lista e saj e çështjeve në përputhje me nenin 37 § 1 (c) të Konventës.</w:t>
      </w:r>
    </w:p>
    <w:p w14:paraId="66B00723" w14:textId="3A146043" w:rsidR="00692AE6" w:rsidRPr="007C1C8B" w:rsidRDefault="00692AE6" w:rsidP="00692AE6">
      <w:pPr>
        <w:pStyle w:val="JuParaLast"/>
        <w:keepNext w:val="0"/>
        <w:keepLines w:val="0"/>
        <w:spacing w:before="0" w:after="0"/>
        <w:ind w:firstLine="284"/>
        <w:rPr>
          <w:rFonts w:ascii="Garamond" w:hAnsi="Garamond"/>
          <w:lang w:val="sq-AL"/>
        </w:rPr>
      </w:pPr>
      <w:r w:rsidRPr="007C1C8B">
        <w:rPr>
          <w:rFonts w:ascii="Garamond" w:hAnsi="Garamond"/>
          <w:lang w:val="sq-AL"/>
        </w:rPr>
        <w:t>Bërë në gjuhën angleze dhe njoftuar me shkrim</w:t>
      </w:r>
      <w:r w:rsidR="00D1372F" w:rsidRPr="007C1C8B">
        <w:rPr>
          <w:rFonts w:ascii="Garamond" w:hAnsi="Garamond"/>
          <w:lang w:val="sq-AL"/>
        </w:rPr>
        <w:t>,</w:t>
      </w:r>
      <w:r w:rsidRPr="007C1C8B">
        <w:rPr>
          <w:rFonts w:ascii="Garamond" w:hAnsi="Garamond"/>
          <w:lang w:val="sq-AL"/>
        </w:rPr>
        <w:t xml:space="preserve"> më 5 tetor 2023.</w:t>
      </w:r>
    </w:p>
    <w:p w14:paraId="49B43D92" w14:textId="77777777" w:rsidR="006F5F7A" w:rsidRPr="007C1C8B" w:rsidRDefault="00692AE6" w:rsidP="00692AE6">
      <w:pPr>
        <w:pStyle w:val="ECHRPlaceholder"/>
        <w:spacing w:before="0"/>
        <w:ind w:firstLine="284"/>
        <w:jc w:val="both"/>
        <w:rPr>
          <w:rFonts w:ascii="Garamond" w:hAnsi="Garamond"/>
          <w:lang w:val="sq-AL"/>
        </w:rPr>
      </w:pPr>
      <w:r w:rsidRPr="007C1C8B">
        <w:rPr>
          <w:rFonts w:ascii="Garamond" w:hAnsi="Garamond"/>
          <w:lang w:val="sq-A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</w:tblGrid>
      <w:tr w:rsidR="006F5F7A" w:rsidRPr="007C1C8B" w14:paraId="34E58240" w14:textId="77777777" w:rsidTr="006F5F7A">
        <w:tc>
          <w:tcPr>
            <w:tcW w:w="3114" w:type="dxa"/>
          </w:tcPr>
          <w:p w14:paraId="7F07C0A2" w14:textId="69F8F2C5" w:rsidR="006F5F7A" w:rsidRPr="007C1C8B" w:rsidRDefault="006F5F7A" w:rsidP="006F5F7A">
            <w:pPr>
              <w:pStyle w:val="ECHRPlaceholder"/>
              <w:spacing w:before="0"/>
              <w:jc w:val="center"/>
              <w:rPr>
                <w:rFonts w:ascii="Garamond" w:hAnsi="Garamond"/>
                <w:lang w:val="sq-AL"/>
              </w:rPr>
            </w:pPr>
            <w:r w:rsidRPr="007C1C8B">
              <w:rPr>
                <w:rFonts w:ascii="Garamond" w:hAnsi="Garamond"/>
                <w:b/>
                <w:color w:val="000000"/>
                <w:lang w:val="sq-AL"/>
              </w:rPr>
              <w:t>Viktoriya Maradudina</w:t>
            </w:r>
            <w:r w:rsidRPr="007C1C8B">
              <w:rPr>
                <w:rFonts w:ascii="Garamond" w:hAnsi="Garamond"/>
                <w:color w:val="000000"/>
                <w:lang w:val="sq-AL"/>
              </w:rPr>
              <w:t xml:space="preserve"> </w:t>
            </w:r>
            <w:r w:rsidR="000B212B" w:rsidRPr="007C1C8B">
              <w:rPr>
                <w:rFonts w:ascii="Garamond" w:hAnsi="Garamond"/>
                <w:color w:val="000000"/>
                <w:lang w:val="sq-AL"/>
              </w:rPr>
              <w:t xml:space="preserve">Zëvendëskancelare </w:t>
            </w:r>
            <w:r w:rsidRPr="007C1C8B">
              <w:rPr>
                <w:rFonts w:ascii="Garamond" w:hAnsi="Garamond"/>
                <w:color w:val="000000"/>
                <w:lang w:val="sq-AL"/>
              </w:rPr>
              <w:t>në detyrë</w:t>
            </w:r>
          </w:p>
        </w:tc>
        <w:tc>
          <w:tcPr>
            <w:tcW w:w="2410" w:type="dxa"/>
          </w:tcPr>
          <w:p w14:paraId="6656F586" w14:textId="31160B65" w:rsidR="006F5F7A" w:rsidRPr="007C1C8B" w:rsidRDefault="006F5F7A" w:rsidP="006F5F7A">
            <w:pPr>
              <w:pStyle w:val="ECHRPlaceholder"/>
              <w:spacing w:before="0"/>
              <w:ind w:firstLine="284"/>
              <w:jc w:val="center"/>
              <w:rPr>
                <w:rFonts w:ascii="Garamond" w:hAnsi="Garamond"/>
                <w:b/>
                <w:color w:val="000000"/>
                <w:lang w:val="sq-AL"/>
              </w:rPr>
            </w:pPr>
            <w:r w:rsidRPr="007C1C8B">
              <w:rPr>
                <w:rFonts w:ascii="Garamond" w:hAnsi="Garamond"/>
                <w:b/>
                <w:color w:val="000000"/>
                <w:lang w:val="sq-AL"/>
              </w:rPr>
              <w:t>Ioannis Ktistakis</w:t>
            </w:r>
          </w:p>
          <w:p w14:paraId="6775FFDC" w14:textId="1E4A808A" w:rsidR="006F5F7A" w:rsidRPr="007C1C8B" w:rsidRDefault="006F5F7A" w:rsidP="006F5F7A">
            <w:pPr>
              <w:pStyle w:val="ECHRPlaceholder"/>
              <w:spacing w:before="0"/>
              <w:ind w:firstLine="284"/>
              <w:jc w:val="center"/>
              <w:rPr>
                <w:rFonts w:ascii="Garamond" w:hAnsi="Garamond"/>
                <w:color w:val="000000"/>
                <w:lang w:val="sq-AL"/>
              </w:rPr>
            </w:pPr>
            <w:r w:rsidRPr="007C1C8B">
              <w:rPr>
                <w:rFonts w:ascii="Garamond" w:hAnsi="Garamond"/>
                <w:color w:val="000000"/>
                <w:lang w:val="sq-AL"/>
              </w:rPr>
              <w:t>President</w:t>
            </w:r>
          </w:p>
        </w:tc>
      </w:tr>
    </w:tbl>
    <w:p w14:paraId="0A0EC0B4" w14:textId="65E2D28C" w:rsidR="00692AE6" w:rsidRPr="007C1C8B" w:rsidRDefault="00692AE6" w:rsidP="00692AE6">
      <w:pPr>
        <w:pStyle w:val="ECHRPlaceholder"/>
        <w:spacing w:before="0"/>
        <w:ind w:firstLine="284"/>
        <w:jc w:val="both"/>
        <w:rPr>
          <w:rFonts w:ascii="Garamond" w:hAnsi="Garamond"/>
          <w:lang w:val="sq-AL"/>
        </w:rPr>
      </w:pPr>
    </w:p>
    <w:p w14:paraId="128B248D" w14:textId="77777777" w:rsidR="008F5D31" w:rsidRPr="007C1C8B" w:rsidRDefault="008F5D31" w:rsidP="008F5D31">
      <w:pPr>
        <w:pStyle w:val="DecHTitle"/>
        <w:spacing w:after="0"/>
        <w:ind w:firstLine="0"/>
        <w:rPr>
          <w:rFonts w:ascii="Garamond" w:eastAsia="PMingLiU" w:hAnsi="Garamond"/>
          <w:sz w:val="24"/>
          <w:szCs w:val="24"/>
          <w:lang w:val="sq-AL"/>
        </w:rPr>
      </w:pPr>
      <w:r w:rsidRPr="007C1C8B">
        <w:rPr>
          <w:rFonts w:ascii="Garamond" w:hAnsi="Garamond"/>
          <w:sz w:val="24"/>
          <w:szCs w:val="24"/>
          <w:lang w:val="sq-AL"/>
        </w:rPr>
        <w:t>SHTOJCË</w:t>
      </w:r>
    </w:p>
    <w:p w14:paraId="7F05F236" w14:textId="77777777" w:rsidR="008F5D31" w:rsidRPr="007C1C8B" w:rsidRDefault="008F5D31" w:rsidP="008F5D31">
      <w:pPr>
        <w:pStyle w:val="DecHCase"/>
        <w:spacing w:after="0"/>
        <w:ind w:firstLine="0"/>
        <w:contextualSpacing/>
        <w:rPr>
          <w:rFonts w:ascii="Garamond" w:hAnsi="Garamond"/>
          <w:i/>
          <w:lang w:val="sq-AL"/>
        </w:rPr>
      </w:pPr>
      <w:r w:rsidRPr="007C1C8B">
        <w:rPr>
          <w:rFonts w:ascii="Garamond" w:hAnsi="Garamond"/>
          <w:i/>
          <w:lang w:val="sq-AL"/>
        </w:rPr>
        <w:t>Kërkesa që paraqet ankimin sipas nenit 6 § 1 të Konventës</w:t>
      </w:r>
    </w:p>
    <w:p w14:paraId="2229FC47" w14:textId="77777777" w:rsidR="008F5D31" w:rsidRPr="007C1C8B" w:rsidRDefault="008F5D31" w:rsidP="008F5D31">
      <w:pPr>
        <w:pStyle w:val="DecHCase"/>
        <w:spacing w:after="0"/>
        <w:ind w:firstLine="0"/>
        <w:rPr>
          <w:rFonts w:ascii="Garamond" w:hAnsi="Garamond"/>
          <w:i/>
          <w:lang w:val="sq-AL"/>
        </w:rPr>
      </w:pPr>
      <w:r w:rsidRPr="007C1C8B">
        <w:rPr>
          <w:rFonts w:ascii="Garamond" w:hAnsi="Garamond"/>
          <w:i/>
          <w:lang w:val="sq-AL"/>
        </w:rPr>
        <w:t>(Tejkalimi i kohëzgjatjes së procesit civil)</w:t>
      </w:r>
    </w:p>
    <w:tbl>
      <w:tblPr>
        <w:tblStyle w:val="ECHRListTable"/>
        <w:tblpPr w:leftFromText="141" w:rightFromText="141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435"/>
        <w:gridCol w:w="2013"/>
        <w:gridCol w:w="1678"/>
        <w:gridCol w:w="2268"/>
        <w:gridCol w:w="1956"/>
      </w:tblGrid>
      <w:tr w:rsidR="008F5D31" w:rsidRPr="007C1C8B" w14:paraId="094AB804" w14:textId="77777777" w:rsidTr="000B2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7" w:type="pct"/>
          </w:tcPr>
          <w:p w14:paraId="3FBFF09B" w14:textId="77777777" w:rsidR="008F5D31" w:rsidRPr="007C1C8B" w:rsidRDefault="008F5D31" w:rsidP="008F5D31">
            <w:pPr>
              <w:jc w:val="center"/>
              <w:rPr>
                <w:rFonts w:ascii="Garamond" w:eastAsia="PMingLiU" w:hAnsi="Garamond" w:cs="Times New Roman"/>
                <w:color w:val="000000" w:themeColor="text1"/>
              </w:rPr>
            </w:pPr>
            <w:bookmarkStart w:id="0" w:name="WECLListStart"/>
            <w:bookmarkStart w:id="1" w:name="TableStart"/>
            <w:bookmarkEnd w:id="0"/>
            <w:bookmarkEnd w:id="1"/>
            <w:r w:rsidRPr="007C1C8B">
              <w:rPr>
                <w:rFonts w:ascii="Garamond" w:hAnsi="Garamond"/>
                <w:color w:val="000000" w:themeColor="text1"/>
              </w:rPr>
              <w:t>Kërkesa nr.</w:t>
            </w:r>
            <w:r w:rsidRPr="007C1C8B">
              <w:rPr>
                <w:rFonts w:ascii="Garamond" w:hAnsi="Garamond"/>
                <w:color w:val="000000" w:themeColor="text1"/>
              </w:rPr>
              <w:br/>
              <w:t>Data e paraqitjes</w:t>
            </w:r>
          </w:p>
        </w:tc>
        <w:tc>
          <w:tcPr>
            <w:tcW w:w="1076" w:type="pct"/>
          </w:tcPr>
          <w:p w14:paraId="417E48B8" w14:textId="77777777" w:rsidR="008F5D31" w:rsidRPr="007C1C8B" w:rsidRDefault="008F5D31" w:rsidP="008F5D31">
            <w:pPr>
              <w:jc w:val="center"/>
              <w:rPr>
                <w:rFonts w:ascii="Garamond" w:eastAsia="PMingLiU" w:hAnsi="Garamond" w:cs="Times New Roman"/>
                <w:color w:val="000000" w:themeColor="text1"/>
              </w:rPr>
            </w:pPr>
            <w:r w:rsidRPr="007C1C8B">
              <w:rPr>
                <w:rFonts w:ascii="Garamond" w:hAnsi="Garamond"/>
                <w:color w:val="000000" w:themeColor="text1"/>
              </w:rPr>
              <w:t>Emri i kërkuesit</w:t>
            </w:r>
          </w:p>
          <w:p w14:paraId="24B88F97" w14:textId="77777777" w:rsidR="008F5D31" w:rsidRPr="007C1C8B" w:rsidRDefault="008F5D31" w:rsidP="008F5D31">
            <w:pPr>
              <w:jc w:val="center"/>
              <w:rPr>
                <w:rFonts w:ascii="Garamond" w:eastAsia="PMingLiU" w:hAnsi="Garamond" w:cs="Times New Roman"/>
                <w:color w:val="000000" w:themeColor="text1"/>
              </w:rPr>
            </w:pPr>
            <w:r w:rsidRPr="007C1C8B">
              <w:rPr>
                <w:rFonts w:ascii="Garamond" w:hAnsi="Garamond"/>
                <w:color w:val="000000" w:themeColor="text1"/>
              </w:rPr>
              <w:t>Viti i lindjes</w:t>
            </w:r>
          </w:p>
          <w:p w14:paraId="5769580A" w14:textId="77777777" w:rsidR="008F5D31" w:rsidRPr="007C1C8B" w:rsidRDefault="008F5D31" w:rsidP="008F5D31">
            <w:pPr>
              <w:jc w:val="center"/>
              <w:rPr>
                <w:rFonts w:ascii="Garamond" w:eastAsia="PMingLiU" w:hAnsi="Garamond" w:cs="Times New Roman"/>
                <w:color w:val="000000" w:themeColor="text1"/>
              </w:rPr>
            </w:pPr>
          </w:p>
        </w:tc>
        <w:tc>
          <w:tcPr>
            <w:tcW w:w="897" w:type="pct"/>
          </w:tcPr>
          <w:p w14:paraId="7F635CB5" w14:textId="77777777" w:rsidR="008F5D31" w:rsidRPr="007C1C8B" w:rsidRDefault="008F5D31" w:rsidP="008F5D31">
            <w:pPr>
              <w:jc w:val="center"/>
              <w:rPr>
                <w:rFonts w:ascii="Garamond" w:eastAsia="PMingLiU" w:hAnsi="Garamond" w:cs="Times New Roman"/>
                <w:color w:val="000000" w:themeColor="text1"/>
                <w:spacing w:val="-4"/>
              </w:rPr>
            </w:pPr>
            <w:r w:rsidRPr="007C1C8B">
              <w:rPr>
                <w:rFonts w:ascii="Garamond" w:hAnsi="Garamond"/>
                <w:color w:val="000000" w:themeColor="text1"/>
              </w:rPr>
              <w:t>Data e marrjes së deklaratës së Qeverisë</w:t>
            </w:r>
          </w:p>
        </w:tc>
        <w:tc>
          <w:tcPr>
            <w:tcW w:w="1213" w:type="pct"/>
          </w:tcPr>
          <w:p w14:paraId="21E88D3B" w14:textId="77787C10" w:rsidR="008F5D31" w:rsidRPr="007C1C8B" w:rsidRDefault="008F5D31" w:rsidP="008F5D31">
            <w:pPr>
              <w:jc w:val="center"/>
              <w:rPr>
                <w:rFonts w:ascii="Garamond" w:eastAsia="PMingLiU" w:hAnsi="Garamond" w:cs="Times New Roman"/>
                <w:color w:val="000000" w:themeColor="text1"/>
              </w:rPr>
            </w:pPr>
            <w:r w:rsidRPr="007C1C8B">
              <w:rPr>
                <w:rFonts w:ascii="Garamond" w:hAnsi="Garamond"/>
                <w:color w:val="000000" w:themeColor="text1"/>
              </w:rPr>
              <w:t>Shuma e dhënë për dëmshpërblim jomonetar</w:t>
            </w:r>
          </w:p>
          <w:p w14:paraId="717EE579" w14:textId="77777777" w:rsidR="008F5D31" w:rsidRPr="007C1C8B" w:rsidRDefault="008F5D31" w:rsidP="008F5D31">
            <w:pPr>
              <w:jc w:val="center"/>
              <w:rPr>
                <w:rFonts w:ascii="Garamond" w:eastAsia="PMingLiU" w:hAnsi="Garamond" w:cs="Times New Roman"/>
                <w:color w:val="000000" w:themeColor="text1"/>
              </w:rPr>
            </w:pPr>
            <w:r w:rsidRPr="007C1C8B">
              <w:rPr>
                <w:rFonts w:ascii="Garamond" w:hAnsi="Garamond"/>
                <w:color w:val="000000" w:themeColor="text1"/>
              </w:rPr>
              <w:t>për kërkues</w:t>
            </w:r>
          </w:p>
          <w:p w14:paraId="2C365961" w14:textId="3FC5D1A5" w:rsidR="008F5D31" w:rsidRPr="007C1C8B" w:rsidRDefault="008F5D31" w:rsidP="008F5D31">
            <w:pPr>
              <w:jc w:val="center"/>
              <w:rPr>
                <w:rFonts w:ascii="Garamond" w:eastAsia="PMingLiU" w:hAnsi="Garamond" w:cs="Times New Roman"/>
                <w:color w:val="000000" w:themeColor="text1"/>
              </w:rPr>
            </w:pPr>
            <w:r w:rsidRPr="007C1C8B">
              <w:rPr>
                <w:rFonts w:ascii="Garamond" w:hAnsi="Garamond"/>
                <w:color w:val="000000" w:themeColor="text1"/>
              </w:rPr>
              <w:t>(në euro)</w:t>
            </w:r>
            <w:r w:rsidRPr="007C1C8B">
              <w:rPr>
                <w:rStyle w:val="FootnoteReference"/>
                <w:rFonts w:ascii="Garamond" w:hAnsi="Garamond"/>
                <w:color w:val="000000" w:themeColor="text1"/>
              </w:rPr>
              <w:footnoteReference w:id="2"/>
            </w:r>
            <w:r w:rsidRPr="007C1C8B">
              <w:rPr>
                <w:rStyle w:val="EndnoteReference"/>
                <w:rFonts w:ascii="Garamond" w:hAnsi="Garamond"/>
                <w:color w:val="000000" w:themeColor="text1"/>
              </w:rPr>
              <w:t xml:space="preserve"> </w:t>
            </w:r>
          </w:p>
        </w:tc>
        <w:tc>
          <w:tcPr>
            <w:tcW w:w="1046" w:type="pct"/>
          </w:tcPr>
          <w:p w14:paraId="3C0FB2FC" w14:textId="77777777" w:rsidR="008F5D31" w:rsidRPr="007C1C8B" w:rsidRDefault="008F5D31" w:rsidP="008F5D31">
            <w:pPr>
              <w:jc w:val="center"/>
              <w:rPr>
                <w:rFonts w:ascii="Garamond" w:eastAsia="PMingLiU" w:hAnsi="Garamond" w:cs="Times New Roman"/>
                <w:color w:val="000000" w:themeColor="text1"/>
              </w:rPr>
            </w:pPr>
            <w:r w:rsidRPr="007C1C8B">
              <w:rPr>
                <w:rFonts w:ascii="Garamond" w:hAnsi="Garamond"/>
                <w:color w:val="000000" w:themeColor="text1"/>
              </w:rPr>
              <w:t>Shumat e dhëna për kosto dhe shpenzime për kërkesën</w:t>
            </w:r>
          </w:p>
          <w:p w14:paraId="415231BB" w14:textId="77777777" w:rsidR="008F5D31" w:rsidRPr="007C1C8B" w:rsidRDefault="008F5D31" w:rsidP="008F5D31">
            <w:pPr>
              <w:jc w:val="center"/>
              <w:rPr>
                <w:rFonts w:ascii="Garamond" w:eastAsia="PMingLiU" w:hAnsi="Garamond" w:cs="Times New Roman"/>
                <w:color w:val="000000" w:themeColor="text1"/>
              </w:rPr>
            </w:pPr>
            <w:r w:rsidRPr="007C1C8B">
              <w:rPr>
                <w:rFonts w:ascii="Garamond" w:hAnsi="Garamond"/>
                <w:color w:val="000000" w:themeColor="text1"/>
              </w:rPr>
              <w:t>(në euro)</w:t>
            </w:r>
          </w:p>
        </w:tc>
      </w:tr>
      <w:tr w:rsidR="008F5D31" w:rsidRPr="007C1C8B" w14:paraId="1C5972D4" w14:textId="77777777" w:rsidTr="000B212B">
        <w:tc>
          <w:tcPr>
            <w:tcW w:w="767" w:type="pct"/>
          </w:tcPr>
          <w:p w14:paraId="12822635" w14:textId="77777777" w:rsidR="008F5D31" w:rsidRPr="007C1C8B" w:rsidRDefault="008F5D31" w:rsidP="008F5D31">
            <w:pPr>
              <w:jc w:val="center"/>
              <w:rPr>
                <w:rFonts w:ascii="Garamond" w:eastAsia="PMingLiU" w:hAnsi="Garamond" w:cs="Times New Roman"/>
              </w:rPr>
            </w:pPr>
            <w:r w:rsidRPr="007C1C8B">
              <w:rPr>
                <w:rFonts w:ascii="Garamond" w:hAnsi="Garamond"/>
              </w:rPr>
              <w:t>50783/12</w:t>
            </w:r>
          </w:p>
          <w:p w14:paraId="26006DF0" w14:textId="727B18EF" w:rsidR="008F5D31" w:rsidRPr="007C1C8B" w:rsidRDefault="008F5D31" w:rsidP="008F5D31">
            <w:pPr>
              <w:jc w:val="center"/>
              <w:rPr>
                <w:rFonts w:ascii="Garamond" w:eastAsia="PMingLiU" w:hAnsi="Garamond" w:cs="Times New Roman"/>
              </w:rPr>
            </w:pPr>
            <w:r w:rsidRPr="007C1C8B">
              <w:rPr>
                <w:rFonts w:ascii="Garamond" w:hAnsi="Garamond"/>
              </w:rPr>
              <w:t>31</w:t>
            </w:r>
            <w:r w:rsidR="000B212B" w:rsidRPr="007C1C8B">
              <w:rPr>
                <w:rFonts w:ascii="Garamond" w:hAnsi="Garamond"/>
              </w:rPr>
              <w:t>.</w:t>
            </w:r>
            <w:r w:rsidRPr="007C1C8B">
              <w:rPr>
                <w:rFonts w:ascii="Garamond" w:hAnsi="Garamond"/>
              </w:rPr>
              <w:t>7</w:t>
            </w:r>
            <w:r w:rsidR="000B212B" w:rsidRPr="007C1C8B">
              <w:rPr>
                <w:rFonts w:ascii="Garamond" w:hAnsi="Garamond"/>
              </w:rPr>
              <w:t>.</w:t>
            </w:r>
            <w:r w:rsidRPr="007C1C8B">
              <w:rPr>
                <w:rFonts w:ascii="Garamond" w:hAnsi="Garamond"/>
              </w:rPr>
              <w:t>2012</w:t>
            </w:r>
          </w:p>
        </w:tc>
        <w:tc>
          <w:tcPr>
            <w:tcW w:w="1076" w:type="pct"/>
          </w:tcPr>
          <w:p w14:paraId="798649E1" w14:textId="77777777" w:rsidR="008F5D31" w:rsidRPr="007C1C8B" w:rsidRDefault="008F5D31" w:rsidP="008F5D31">
            <w:pPr>
              <w:jc w:val="center"/>
              <w:rPr>
                <w:rFonts w:ascii="Garamond" w:eastAsia="PMingLiU" w:hAnsi="Garamond" w:cs="Times New Roman"/>
              </w:rPr>
            </w:pPr>
            <w:r w:rsidRPr="007C1C8B">
              <w:rPr>
                <w:rFonts w:ascii="Garamond" w:hAnsi="Garamond"/>
                <w:b/>
              </w:rPr>
              <w:t>Dede ZHIVANI</w:t>
            </w:r>
          </w:p>
          <w:p w14:paraId="2FCD37B2" w14:textId="77777777" w:rsidR="008F5D31" w:rsidRPr="007C1C8B" w:rsidRDefault="008F5D31" w:rsidP="008F5D31">
            <w:pPr>
              <w:jc w:val="center"/>
              <w:rPr>
                <w:rFonts w:ascii="Garamond" w:eastAsia="PMingLiU" w:hAnsi="Garamond" w:cs="Times New Roman"/>
              </w:rPr>
            </w:pPr>
            <w:r w:rsidRPr="007C1C8B">
              <w:rPr>
                <w:rFonts w:ascii="Garamond" w:hAnsi="Garamond"/>
              </w:rPr>
              <w:t>1957</w:t>
            </w:r>
          </w:p>
        </w:tc>
        <w:tc>
          <w:tcPr>
            <w:tcW w:w="897" w:type="pct"/>
          </w:tcPr>
          <w:p w14:paraId="6EDE8459" w14:textId="31271694" w:rsidR="008F5D31" w:rsidRPr="007C1C8B" w:rsidRDefault="008F5D31" w:rsidP="008F5D31">
            <w:pPr>
              <w:jc w:val="center"/>
              <w:rPr>
                <w:rFonts w:ascii="Garamond" w:eastAsia="PMingLiU" w:hAnsi="Garamond" w:cs="Times New Roman"/>
              </w:rPr>
            </w:pPr>
            <w:r w:rsidRPr="007C1C8B">
              <w:rPr>
                <w:rFonts w:ascii="Garamond" w:hAnsi="Garamond"/>
              </w:rPr>
              <w:t>5</w:t>
            </w:r>
            <w:r w:rsidR="000B212B" w:rsidRPr="007C1C8B">
              <w:rPr>
                <w:rFonts w:ascii="Garamond" w:hAnsi="Garamond"/>
              </w:rPr>
              <w:t>.</w:t>
            </w:r>
            <w:r w:rsidRPr="007C1C8B">
              <w:rPr>
                <w:rFonts w:ascii="Garamond" w:hAnsi="Garamond"/>
              </w:rPr>
              <w:t>4</w:t>
            </w:r>
            <w:r w:rsidR="000B212B" w:rsidRPr="007C1C8B">
              <w:rPr>
                <w:rFonts w:ascii="Garamond" w:hAnsi="Garamond"/>
              </w:rPr>
              <w:t>.</w:t>
            </w:r>
            <w:r w:rsidRPr="007C1C8B">
              <w:rPr>
                <w:rFonts w:ascii="Garamond" w:hAnsi="Garamond"/>
              </w:rPr>
              <w:t>2023</w:t>
            </w:r>
          </w:p>
        </w:tc>
        <w:tc>
          <w:tcPr>
            <w:tcW w:w="1213" w:type="pct"/>
          </w:tcPr>
          <w:p w14:paraId="69883E9E" w14:textId="77777777" w:rsidR="008F5D31" w:rsidRPr="007C1C8B" w:rsidRDefault="008F5D31" w:rsidP="008F5D31">
            <w:pPr>
              <w:jc w:val="center"/>
              <w:rPr>
                <w:rFonts w:ascii="Garamond" w:eastAsia="PMingLiU" w:hAnsi="Garamond" w:cs="Times New Roman"/>
              </w:rPr>
            </w:pPr>
            <w:r w:rsidRPr="007C1C8B">
              <w:rPr>
                <w:rFonts w:ascii="Garamond" w:hAnsi="Garamond"/>
              </w:rPr>
              <w:t>1.200</w:t>
            </w:r>
          </w:p>
        </w:tc>
        <w:tc>
          <w:tcPr>
            <w:tcW w:w="1046" w:type="pct"/>
          </w:tcPr>
          <w:p w14:paraId="2AD73001" w14:textId="77777777" w:rsidR="008F5D31" w:rsidRPr="007C1C8B" w:rsidRDefault="008F5D31" w:rsidP="008F5D31">
            <w:pPr>
              <w:jc w:val="center"/>
              <w:rPr>
                <w:rFonts w:ascii="Garamond" w:eastAsia="PMingLiU" w:hAnsi="Garamond" w:cs="Times New Roman"/>
              </w:rPr>
            </w:pPr>
            <w:r w:rsidRPr="007C1C8B">
              <w:rPr>
                <w:rFonts w:ascii="Garamond" w:hAnsi="Garamond"/>
              </w:rPr>
              <w:t>250</w:t>
            </w:r>
          </w:p>
        </w:tc>
      </w:tr>
    </w:tbl>
    <w:p w14:paraId="7CD0FAA2" w14:textId="782C1082" w:rsidR="00692AE6" w:rsidRPr="007C1C8B" w:rsidRDefault="00692AE6" w:rsidP="008F5D31">
      <w:pPr>
        <w:pStyle w:val="ECHRPlaceholder"/>
        <w:spacing w:before="0"/>
        <w:jc w:val="both"/>
        <w:rPr>
          <w:rFonts w:ascii="Garamond" w:hAnsi="Garamond"/>
          <w:lang w:val="sq-AL"/>
        </w:rPr>
      </w:pPr>
    </w:p>
    <w:p w14:paraId="4D824E93" w14:textId="77777777" w:rsidR="00692AE6" w:rsidRPr="007C1C8B" w:rsidRDefault="00692AE6" w:rsidP="008F5D31">
      <w:pPr>
        <w:pStyle w:val="ECHRPlaceholder"/>
        <w:spacing w:before="0"/>
        <w:jc w:val="both"/>
        <w:rPr>
          <w:rFonts w:ascii="Garamond" w:hAnsi="Garamond"/>
          <w:lang w:val="sq-AL"/>
        </w:rPr>
      </w:pPr>
    </w:p>
    <w:p w14:paraId="73037DF2" w14:textId="582F8A78" w:rsidR="00692AE6" w:rsidRPr="007C1C8B" w:rsidRDefault="00692AE6" w:rsidP="008F5D31">
      <w:pPr>
        <w:pStyle w:val="ECHRPlaceholder"/>
        <w:spacing w:before="0"/>
        <w:jc w:val="both"/>
        <w:rPr>
          <w:rFonts w:ascii="Garamond" w:hAnsi="Garamond"/>
          <w:color w:val="000000"/>
          <w:lang w:val="sq-AL"/>
        </w:rPr>
      </w:pPr>
      <w:r w:rsidRPr="007C1C8B">
        <w:rPr>
          <w:rFonts w:ascii="Garamond" w:hAnsi="Garamond"/>
          <w:color w:val="000000"/>
          <w:lang w:val="sq-AL"/>
        </w:rPr>
        <w:t xml:space="preserve"> </w:t>
      </w:r>
    </w:p>
    <w:p w14:paraId="39B52EE6" w14:textId="6E5083DF" w:rsidR="00692AE6" w:rsidRPr="007C1C8B" w:rsidRDefault="00692AE6" w:rsidP="008F5D31">
      <w:pPr>
        <w:spacing w:after="0" w:line="240" w:lineRule="auto"/>
        <w:jc w:val="both"/>
        <w:rPr>
          <w:rFonts w:ascii="Garamond" w:hAnsi="Garamond"/>
          <w:sz w:val="24"/>
          <w:szCs w:val="24"/>
          <w:lang w:val="sq-AL"/>
        </w:rPr>
      </w:pPr>
    </w:p>
    <w:p w14:paraId="21E003B7" w14:textId="29FB4724" w:rsidR="008F5D31" w:rsidRPr="007C1C8B" w:rsidRDefault="008F5D31" w:rsidP="008F5D31">
      <w:pPr>
        <w:spacing w:after="0" w:line="240" w:lineRule="auto"/>
        <w:jc w:val="both"/>
        <w:rPr>
          <w:rFonts w:ascii="Garamond" w:hAnsi="Garamond"/>
          <w:sz w:val="24"/>
          <w:szCs w:val="24"/>
          <w:lang w:val="sq-AL"/>
        </w:rPr>
      </w:pPr>
    </w:p>
    <w:p w14:paraId="27E50ABE" w14:textId="18D9ECA0" w:rsidR="008F5D31" w:rsidRPr="007C1C8B" w:rsidRDefault="008F5D31" w:rsidP="008F5D31">
      <w:pPr>
        <w:spacing w:after="0" w:line="240" w:lineRule="auto"/>
        <w:jc w:val="both"/>
        <w:rPr>
          <w:rFonts w:ascii="Garamond" w:hAnsi="Garamond"/>
          <w:sz w:val="24"/>
          <w:szCs w:val="24"/>
          <w:lang w:val="sq-AL"/>
        </w:rPr>
      </w:pPr>
    </w:p>
    <w:p w14:paraId="7B57622E" w14:textId="625E776B" w:rsidR="008F5D31" w:rsidRPr="007C1C8B" w:rsidRDefault="008F5D31" w:rsidP="008F5D31">
      <w:pPr>
        <w:spacing w:after="0" w:line="240" w:lineRule="auto"/>
        <w:jc w:val="both"/>
        <w:rPr>
          <w:rFonts w:ascii="Garamond" w:hAnsi="Garamond"/>
          <w:sz w:val="24"/>
          <w:szCs w:val="24"/>
          <w:lang w:val="sq-AL"/>
        </w:rPr>
      </w:pPr>
    </w:p>
    <w:p w14:paraId="5D1835B0" w14:textId="04D07769" w:rsidR="008F5D31" w:rsidRPr="007C1C8B" w:rsidRDefault="008F5D31" w:rsidP="008F5D31">
      <w:pPr>
        <w:spacing w:after="0" w:line="240" w:lineRule="auto"/>
        <w:jc w:val="both"/>
        <w:rPr>
          <w:rFonts w:ascii="Garamond" w:hAnsi="Garamond"/>
          <w:sz w:val="24"/>
          <w:szCs w:val="24"/>
          <w:lang w:val="sq-AL"/>
        </w:rPr>
      </w:pPr>
    </w:p>
    <w:sectPr w:rsidR="008F5D31" w:rsidRPr="007C1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F6C29" w14:textId="77777777" w:rsidR="00AD345D" w:rsidRDefault="00AD345D" w:rsidP="008F5D31">
      <w:pPr>
        <w:spacing w:after="0" w:line="240" w:lineRule="auto"/>
      </w:pPr>
      <w:r>
        <w:separator/>
      </w:r>
    </w:p>
  </w:endnote>
  <w:endnote w:type="continuationSeparator" w:id="0">
    <w:p w14:paraId="4D11523D" w14:textId="77777777" w:rsidR="00AD345D" w:rsidRDefault="00AD345D" w:rsidP="008F5D31">
      <w:pPr>
        <w:spacing w:after="0" w:line="240" w:lineRule="auto"/>
      </w:pPr>
      <w:r>
        <w:continuationSeparator/>
      </w:r>
    </w:p>
  </w:endnote>
  <w:endnote w:type="continuationNotice" w:id="1">
    <w:p w14:paraId="327F3B8A" w14:textId="77777777" w:rsidR="00AD345D" w:rsidRDefault="00AD34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2DF5F" w14:textId="77777777" w:rsidR="00AD345D" w:rsidRDefault="00AD345D" w:rsidP="008F5D31">
      <w:pPr>
        <w:spacing w:after="0" w:line="240" w:lineRule="auto"/>
      </w:pPr>
      <w:r>
        <w:separator/>
      </w:r>
    </w:p>
  </w:footnote>
  <w:footnote w:type="continuationSeparator" w:id="0">
    <w:p w14:paraId="594C74E6" w14:textId="77777777" w:rsidR="00AD345D" w:rsidRDefault="00AD345D" w:rsidP="008F5D31">
      <w:pPr>
        <w:spacing w:after="0" w:line="240" w:lineRule="auto"/>
      </w:pPr>
      <w:r>
        <w:continuationSeparator/>
      </w:r>
    </w:p>
  </w:footnote>
  <w:footnote w:type="continuationNotice" w:id="1">
    <w:p w14:paraId="1CBE0CB3" w14:textId="77777777" w:rsidR="00AD345D" w:rsidRDefault="00AD345D">
      <w:pPr>
        <w:spacing w:after="0" w:line="240" w:lineRule="auto"/>
      </w:pPr>
    </w:p>
  </w:footnote>
  <w:footnote w:id="2">
    <w:p w14:paraId="23086BE1" w14:textId="6F39FA7F" w:rsidR="007D4ED1" w:rsidRPr="00D9569D" w:rsidRDefault="007D4ED1">
      <w:pPr>
        <w:pStyle w:val="FootnoteText"/>
        <w:rPr>
          <w:rFonts w:ascii="Garamond" w:hAnsi="Garamond"/>
          <w:lang w:val="sq-AL"/>
        </w:rPr>
      </w:pPr>
      <w:r w:rsidRPr="00D9569D">
        <w:rPr>
          <w:rStyle w:val="FootnoteReference"/>
          <w:rFonts w:ascii="Garamond" w:hAnsi="Garamond"/>
          <w:lang w:val="sq-AL"/>
        </w:rPr>
        <w:footnoteRef/>
      </w:r>
      <w:r w:rsidRPr="00D9569D">
        <w:rPr>
          <w:rFonts w:ascii="Garamond" w:hAnsi="Garamond"/>
          <w:lang w:val="sq-AL"/>
        </w:rPr>
        <w:t xml:space="preserve"> Plus çdo taksë që mund t</w:t>
      </w:r>
      <w:r w:rsidR="00D9569D">
        <w:rPr>
          <w:rFonts w:ascii="Garamond" w:hAnsi="Garamond"/>
          <w:lang w:val="sq-AL"/>
        </w:rPr>
        <w:t>’</w:t>
      </w:r>
      <w:r w:rsidRPr="00D9569D">
        <w:rPr>
          <w:rFonts w:ascii="Garamond" w:hAnsi="Garamond"/>
          <w:lang w:val="sq-AL"/>
        </w:rPr>
        <w:t>i ngarkohet kërkuesit</w:t>
      </w:r>
      <w:r w:rsidR="00D9569D" w:rsidRPr="00D9569D">
        <w:rPr>
          <w:rFonts w:ascii="Garamond" w:hAnsi="Garamond"/>
          <w:lang w:val="sq-A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D1D"/>
    <w:rsid w:val="000B212B"/>
    <w:rsid w:val="000F74B6"/>
    <w:rsid w:val="00126853"/>
    <w:rsid w:val="00140725"/>
    <w:rsid w:val="00211C60"/>
    <w:rsid w:val="003220C8"/>
    <w:rsid w:val="00420FCC"/>
    <w:rsid w:val="0047451F"/>
    <w:rsid w:val="00484203"/>
    <w:rsid w:val="00495544"/>
    <w:rsid w:val="0059192E"/>
    <w:rsid w:val="00692AE6"/>
    <w:rsid w:val="006F5F7A"/>
    <w:rsid w:val="00705519"/>
    <w:rsid w:val="007A461B"/>
    <w:rsid w:val="007C1C8B"/>
    <w:rsid w:val="007D4ED1"/>
    <w:rsid w:val="008C6CC4"/>
    <w:rsid w:val="008C7EE7"/>
    <w:rsid w:val="008F5D31"/>
    <w:rsid w:val="0095571D"/>
    <w:rsid w:val="00AA5403"/>
    <w:rsid w:val="00AD345D"/>
    <w:rsid w:val="00AD6F91"/>
    <w:rsid w:val="00AE79F1"/>
    <w:rsid w:val="00D1372F"/>
    <w:rsid w:val="00D9569D"/>
    <w:rsid w:val="00DE1916"/>
    <w:rsid w:val="00DF68E0"/>
    <w:rsid w:val="00E95D1D"/>
    <w:rsid w:val="00EB6E56"/>
    <w:rsid w:val="00EC3B71"/>
    <w:rsid w:val="00EE6FBD"/>
    <w:rsid w:val="00F2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BE63"/>
  <w15:chartTrackingRefBased/>
  <w15:docId w15:val="{3A9E48BA-2D38-4045-9356-ED38CC3A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8" w:unhideWhenUsed="1"/>
    <w:lsdException w:name="endnote text" w:semiHidden="1" w:uiPriority="98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Quot">
    <w:name w:val="Ju_Quot"/>
    <w:aliases w:val="_Quote"/>
    <w:basedOn w:val="Normal"/>
    <w:rsid w:val="00692AE6"/>
    <w:pPr>
      <w:autoSpaceDE w:val="0"/>
      <w:autoSpaceDN w:val="0"/>
      <w:adjustRightInd w:val="0"/>
      <w:spacing w:before="120" w:after="120" w:line="240" w:lineRule="auto"/>
      <w:ind w:left="420" w:firstLine="140"/>
      <w:jc w:val="both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ECHRPlaceholder">
    <w:name w:val="ECHR_Placeholder"/>
    <w:aliases w:val="_Placeholder"/>
    <w:uiPriority w:val="99"/>
    <w:rsid w:val="00692AE6"/>
    <w:pPr>
      <w:tabs>
        <w:tab w:val="center" w:pos="1400"/>
        <w:tab w:val="center" w:pos="5940"/>
      </w:tabs>
      <w:autoSpaceDE w:val="0"/>
      <w:autoSpaceDN w:val="0"/>
      <w:adjustRightInd w:val="0"/>
      <w:spacing w:before="720" w:after="0" w:line="240" w:lineRule="auto"/>
    </w:pPr>
    <w:rPr>
      <w:rFonts w:ascii="Calibri" w:hAnsi="Calibri" w:cs="Calibri"/>
      <w:color w:val="FFFFFF"/>
      <w:sz w:val="24"/>
      <w:szCs w:val="24"/>
    </w:rPr>
  </w:style>
  <w:style w:type="paragraph" w:customStyle="1" w:styleId="JuParaLast">
    <w:name w:val="Ju_Para_Last"/>
    <w:aliases w:val="_Para_Spaced"/>
    <w:basedOn w:val="Normal"/>
    <w:uiPriority w:val="99"/>
    <w:rsid w:val="00692AE6"/>
    <w:pPr>
      <w:keepNext/>
      <w:keepLines/>
      <w:autoSpaceDE w:val="0"/>
      <w:autoSpaceDN w:val="0"/>
      <w:adjustRightInd w:val="0"/>
      <w:spacing w:before="240" w:after="240" w:line="240" w:lineRule="auto"/>
      <w:ind w:firstLine="28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DecList">
    <w:name w:val="Dec_List"/>
    <w:aliases w:val="_List"/>
    <w:basedOn w:val="Normal"/>
    <w:uiPriority w:val="99"/>
    <w:rsid w:val="00692AE6"/>
    <w:pPr>
      <w:autoSpaceDE w:val="0"/>
      <w:autoSpaceDN w:val="0"/>
      <w:adjustRightInd w:val="0"/>
      <w:spacing w:before="280" w:after="60" w:line="240" w:lineRule="auto"/>
      <w:ind w:left="28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JuJudges">
    <w:name w:val="Ju_Judges"/>
    <w:aliases w:val="_Judges"/>
    <w:basedOn w:val="Normal"/>
    <w:uiPriority w:val="99"/>
    <w:rsid w:val="00692AE6"/>
    <w:pPr>
      <w:tabs>
        <w:tab w:val="left" w:pos="560"/>
        <w:tab w:val="left" w:pos="1120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692AE6"/>
    <w:pPr>
      <w:keepNext/>
      <w:keepLines/>
      <w:spacing w:after="280"/>
      <w:jc w:val="center"/>
    </w:pPr>
    <w:rPr>
      <w:rFonts w:ascii="Calibri Light" w:hAnsi="Calibri Light" w:cs="Calibri Light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692AE6"/>
    <w:pPr>
      <w:keepNext/>
      <w:keepLines/>
      <w:spacing w:after="240"/>
      <w:jc w:val="center"/>
    </w:pPr>
    <w:rPr>
      <w:rFonts w:ascii="Calibri Light" w:hAnsi="Calibri Light" w:cs="Calibri Light"/>
      <w:sz w:val="28"/>
      <w:szCs w:val="28"/>
    </w:rPr>
  </w:style>
  <w:style w:type="paragraph" w:customStyle="1" w:styleId="JuPara">
    <w:name w:val="Ju_Para"/>
    <w:aliases w:val="_Para"/>
    <w:basedOn w:val="Normal"/>
    <w:uiPriority w:val="99"/>
    <w:rsid w:val="00692AE6"/>
    <w:pPr>
      <w:autoSpaceDE w:val="0"/>
      <w:autoSpaceDN w:val="0"/>
      <w:adjustRightInd w:val="0"/>
      <w:spacing w:after="0" w:line="240" w:lineRule="auto"/>
      <w:ind w:firstLine="280"/>
      <w:jc w:val="both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F5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8"/>
    <w:semiHidden/>
    <w:rsid w:val="008F5D31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8F5D31"/>
    <w:pPr>
      <w:spacing w:after="0" w:line="240" w:lineRule="auto"/>
    </w:pPr>
    <w:rPr>
      <w:sz w:val="20"/>
      <w:szCs w:val="20"/>
      <w:lang w:val="sq-AL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8F5D31"/>
    <w:rPr>
      <w:sz w:val="20"/>
      <w:szCs w:val="20"/>
      <w:lang w:val="sq-AL"/>
    </w:rPr>
  </w:style>
  <w:style w:type="table" w:customStyle="1" w:styleId="ECHRListTable">
    <w:name w:val="ECHR_List_Table"/>
    <w:basedOn w:val="TableNormal"/>
    <w:uiPriority w:val="99"/>
    <w:rsid w:val="008F5D31"/>
    <w:pPr>
      <w:spacing w:after="0" w:line="240" w:lineRule="auto"/>
    </w:pPr>
    <w:rPr>
      <w:sz w:val="24"/>
      <w:szCs w:val="24"/>
      <w:lang w:val="sq-AL"/>
    </w:rPr>
    <w:tblPr>
      <w:tblBorders>
        <w:top w:val="single" w:sz="4" w:space="0" w:color="323E4F" w:themeColor="text2" w:themeShade="BF"/>
        <w:left w:val="single" w:sz="4" w:space="0" w:color="323E4F" w:themeColor="text2" w:themeShade="BF"/>
        <w:bottom w:val="single" w:sz="4" w:space="0" w:color="323E4F" w:themeColor="text2" w:themeShade="BF"/>
        <w:right w:val="single" w:sz="4" w:space="0" w:color="323E4F" w:themeColor="text2" w:themeShade="BF"/>
        <w:insideH w:val="single" w:sz="4" w:space="0" w:color="323E4F" w:themeColor="text2" w:themeShade="BF"/>
        <w:insideV w:val="single" w:sz="4" w:space="0" w:color="323E4F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7B7B7B" w:themeColor="accent3" w:themeShade="BF"/>
      </w:rPr>
      <w:tblPr/>
      <w:trPr>
        <w:tblHeader/>
      </w:trPr>
      <w:tcPr>
        <w:tc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cBorders>
        <w:shd w:val="clear" w:color="auto" w:fill="D0CECE" w:themeFill="background2" w:themeFillShade="E6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5D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D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5D3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EE6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6FBD"/>
  </w:style>
  <w:style w:type="paragraph" w:styleId="Footer">
    <w:name w:val="footer"/>
    <w:basedOn w:val="Normal"/>
    <w:link w:val="FooterChar"/>
    <w:uiPriority w:val="99"/>
    <w:semiHidden/>
    <w:unhideWhenUsed/>
    <w:rsid w:val="00EE6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6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04C72E2D0FBE446E918235B0D1B772C8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50783-12</Nr_x002e__x0020_akti>
    <Data_x0020_e_x0020_Krijimit xmlns="0e656187-b300-4fb0-8bf4-3a50f872073c">2023-11-15T14:14:49Z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2023-11-13T23:00:00Z</Date_x0020_protokolli>
    <Titulli xmlns="0e656187-b300-4fb0-8bf4-3a50f872073c">Dede Zhivani kundër Shqipërisë ( kërkesa nr. 50783/12)</Titulli>
    <Modifikuesi xmlns="0e656187-b300-4fb0-8bf4-3a50f872073c">ermira.bukaci</Modifikuesi>
    <Nr_x002e__x0020_prot_x0020_QBZ xmlns="0e656187-b300-4fb0-8bf4-3a50f872073c">1702-1</Nr_x002e__x0020_prot_x0020_QBZ>
    <Data_x0020_e_x0020_Modifikimit xmlns="0e656187-b300-4fb0-8bf4-3a50f872073c">2023-11-16T09:51:23Z</Data_x0020_e_x0020_Modifikimit>
    <Dekretuar xmlns="0e656187-b300-4fb0-8bf4-3a50f872073c">false</Dekretuar>
    <Data xmlns="0e656187-b300-4fb0-8bf4-3a50f872073c">2023-10-04T22:00:00Z</Data>
    <Nr_x002e__x0020_protokolli_x0020_i_x0020_aktit xmlns="0e656187-b300-4fb0-8bf4-3a50f872073c">6223-1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04C72E2D0FBE446E918235B0D1B772C8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ABD97E-DA46-4F9A-AEBD-03405B3DC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53B0A39-144F-4FF8-97B9-246A04E44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30A85-E581-4BC8-B786-AF93D100D28D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4.xml><?xml version="1.0" encoding="utf-8"?>
<ds:datastoreItem xmlns:ds="http://schemas.openxmlformats.org/officeDocument/2006/customXml" ds:itemID="{6BB05B43-7BD8-4A76-B50C-8BE5C91C059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8B99794-1723-4481-8552-19C4095F2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C378C186-8833-4A46-B072-99215D2C0C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Dede Zhivani kundër Shqipërisë ( kërkesa nr. 50783/12)</vt:lpstr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Dede Zhivani kundër Shqipërisë ( kërkesa nr. 50783/12)</dc:title>
  <dc:creator>Entela Suli</dc:creator>
  <cp:lastModifiedBy>Jonida Zaharia</cp:lastModifiedBy>
  <cp:revision>2</cp:revision>
  <dcterms:created xsi:type="dcterms:W3CDTF">2024-06-07T11:19:00Z</dcterms:created>
  <dcterms:modified xsi:type="dcterms:W3CDTF">2024-06-07T11:19:00Z</dcterms:modified>
</cp:coreProperties>
</file>