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B501D" w14:textId="77777777" w:rsidR="00803BA2" w:rsidRPr="00C67C8A" w:rsidRDefault="00803BA2" w:rsidP="00803BA2">
      <w:pPr>
        <w:tabs>
          <w:tab w:val="left" w:pos="5529"/>
        </w:tabs>
        <w:spacing w:after="0" w:line="240" w:lineRule="auto"/>
        <w:ind w:firstLine="284"/>
        <w:jc w:val="center"/>
        <w:rPr>
          <w:rFonts w:ascii="Garamond" w:hAnsi="Garamond"/>
          <w:sz w:val="24"/>
          <w:szCs w:val="24"/>
          <w:lang w:val="sq-AL"/>
        </w:rPr>
      </w:pPr>
      <w:r w:rsidRPr="00C67C8A">
        <w:rPr>
          <w:rFonts w:ascii="Garamond" w:hAnsi="Garamond"/>
          <w:sz w:val="24"/>
          <w:szCs w:val="24"/>
          <w:lang w:val="sq-AL"/>
        </w:rPr>
        <w:t>GJYKATA EVROPIANE PËR TË DREJTAT E NJERIUT</w:t>
      </w:r>
    </w:p>
    <w:p w14:paraId="77D43667" w14:textId="302C44CB" w:rsidR="001F4085" w:rsidRPr="00C67C8A" w:rsidRDefault="001F4085" w:rsidP="00803BA2">
      <w:pPr>
        <w:keepLines/>
        <w:autoSpaceDE w:val="0"/>
        <w:autoSpaceDN w:val="0"/>
        <w:adjustRightInd w:val="0"/>
        <w:spacing w:after="0" w:line="240" w:lineRule="auto"/>
        <w:ind w:firstLine="284"/>
        <w:jc w:val="center"/>
        <w:rPr>
          <w:rFonts w:ascii="Garamond" w:hAnsi="Garamond" w:cs="Times New Roman"/>
          <w:color w:val="000000"/>
          <w:sz w:val="24"/>
          <w:szCs w:val="24"/>
          <w:lang w:val="sq-AL"/>
        </w:rPr>
      </w:pPr>
      <w:r w:rsidRPr="00C67C8A">
        <w:rPr>
          <w:rFonts w:ascii="Garamond" w:hAnsi="Garamond" w:cs="Times New Roman"/>
          <w:color w:val="000000"/>
          <w:sz w:val="24"/>
          <w:szCs w:val="24"/>
          <w:lang w:val="sq-AL"/>
        </w:rPr>
        <w:t>SEKSIONI I TRETË</w:t>
      </w:r>
    </w:p>
    <w:p w14:paraId="4CE2D621" w14:textId="77777777" w:rsidR="00803BA2" w:rsidRPr="00C67C8A" w:rsidRDefault="00803BA2" w:rsidP="00803BA2">
      <w:pPr>
        <w:autoSpaceDE w:val="0"/>
        <w:autoSpaceDN w:val="0"/>
        <w:adjustRightInd w:val="0"/>
        <w:spacing w:after="0" w:line="240" w:lineRule="auto"/>
        <w:ind w:firstLine="284"/>
        <w:jc w:val="center"/>
        <w:rPr>
          <w:rFonts w:ascii="Garamond" w:hAnsi="Garamond" w:cs="Times New Roman"/>
          <w:b/>
          <w:color w:val="000000"/>
          <w:sz w:val="24"/>
          <w:szCs w:val="24"/>
          <w:lang w:val="sq-AL"/>
        </w:rPr>
      </w:pPr>
    </w:p>
    <w:p w14:paraId="2338108B" w14:textId="058B5259" w:rsidR="001F4085" w:rsidRPr="00C67C8A" w:rsidRDefault="001F4085" w:rsidP="00803BA2">
      <w:pPr>
        <w:autoSpaceDE w:val="0"/>
        <w:autoSpaceDN w:val="0"/>
        <w:adjustRightInd w:val="0"/>
        <w:spacing w:after="0" w:line="240" w:lineRule="auto"/>
        <w:ind w:firstLine="284"/>
        <w:jc w:val="center"/>
        <w:rPr>
          <w:rFonts w:ascii="Garamond" w:hAnsi="Garamond" w:cs="Times New Roman"/>
          <w:b/>
          <w:color w:val="000000"/>
          <w:sz w:val="24"/>
          <w:szCs w:val="24"/>
          <w:lang w:val="sq-AL"/>
        </w:rPr>
      </w:pPr>
      <w:r w:rsidRPr="00C67C8A">
        <w:rPr>
          <w:rFonts w:ascii="Garamond" w:hAnsi="Garamond" w:cs="Times New Roman"/>
          <w:b/>
          <w:color w:val="000000"/>
          <w:sz w:val="24"/>
          <w:szCs w:val="24"/>
          <w:lang w:val="sq-AL"/>
        </w:rPr>
        <w:t>VENDIM</w:t>
      </w:r>
    </w:p>
    <w:p w14:paraId="38DF798A" w14:textId="77777777" w:rsidR="001F4085" w:rsidRPr="00C67C8A" w:rsidRDefault="001F4085" w:rsidP="00803BA2">
      <w:pPr>
        <w:autoSpaceDE w:val="0"/>
        <w:autoSpaceDN w:val="0"/>
        <w:adjustRightInd w:val="0"/>
        <w:spacing w:after="0" w:line="240" w:lineRule="auto"/>
        <w:ind w:firstLine="284"/>
        <w:jc w:val="center"/>
        <w:rPr>
          <w:rFonts w:ascii="Garamond" w:hAnsi="Garamond" w:cs="Times New Roman"/>
          <w:i/>
          <w:color w:val="000000"/>
          <w:sz w:val="24"/>
          <w:szCs w:val="24"/>
          <w:lang w:val="sq-AL"/>
        </w:rPr>
      </w:pPr>
      <w:r w:rsidRPr="00C67C8A">
        <w:rPr>
          <w:rFonts w:ascii="Garamond" w:hAnsi="Garamond" w:cs="Times New Roman"/>
          <w:i/>
          <w:color w:val="000000"/>
          <w:sz w:val="24"/>
          <w:szCs w:val="24"/>
          <w:lang w:val="sq-AL"/>
        </w:rPr>
        <w:t>Kërkesa nr. 53488/15</w:t>
      </w:r>
    </w:p>
    <w:p w14:paraId="32410937" w14:textId="77777777" w:rsidR="00803BA2" w:rsidRPr="00C67C8A" w:rsidRDefault="00803BA2" w:rsidP="00803BA2">
      <w:pPr>
        <w:autoSpaceDE w:val="0"/>
        <w:autoSpaceDN w:val="0"/>
        <w:adjustRightInd w:val="0"/>
        <w:spacing w:after="0" w:line="240" w:lineRule="auto"/>
        <w:ind w:firstLine="284"/>
        <w:jc w:val="center"/>
        <w:rPr>
          <w:rFonts w:ascii="Garamond" w:hAnsi="Garamond" w:cs="Times New Roman"/>
          <w:color w:val="000000"/>
          <w:sz w:val="24"/>
          <w:szCs w:val="24"/>
          <w:lang w:val="sq-AL"/>
        </w:rPr>
      </w:pPr>
    </w:p>
    <w:p w14:paraId="70468330" w14:textId="3EFD9D2F" w:rsidR="001F4085" w:rsidRPr="00C67C8A" w:rsidRDefault="007C1414" w:rsidP="00803BA2">
      <w:pPr>
        <w:autoSpaceDE w:val="0"/>
        <w:autoSpaceDN w:val="0"/>
        <w:adjustRightInd w:val="0"/>
        <w:spacing w:after="0" w:line="240" w:lineRule="auto"/>
        <w:ind w:firstLine="284"/>
        <w:jc w:val="center"/>
        <w:rPr>
          <w:rFonts w:ascii="Garamond" w:hAnsi="Garamond" w:cs="Times New Roman"/>
          <w:b/>
          <w:color w:val="000000"/>
          <w:sz w:val="24"/>
          <w:szCs w:val="24"/>
          <w:lang w:val="sq-AL"/>
        </w:rPr>
      </w:pPr>
      <w:r w:rsidRPr="00C67C8A">
        <w:rPr>
          <w:rFonts w:ascii="Garamond" w:hAnsi="Garamond" w:cs="Times New Roman"/>
          <w:b/>
          <w:color w:val="000000"/>
          <w:sz w:val="24"/>
          <w:szCs w:val="24"/>
          <w:lang w:val="sq-AL"/>
        </w:rPr>
        <w:t>Francesco BECCHETTI dhe të tjerët</w:t>
      </w:r>
    </w:p>
    <w:p w14:paraId="5C23C365" w14:textId="529379DB" w:rsidR="001F4085" w:rsidRPr="00C67C8A" w:rsidRDefault="007C1414" w:rsidP="00803BA2">
      <w:pPr>
        <w:autoSpaceDE w:val="0"/>
        <w:autoSpaceDN w:val="0"/>
        <w:adjustRightInd w:val="0"/>
        <w:spacing w:after="0" w:line="240" w:lineRule="auto"/>
        <w:ind w:firstLine="284"/>
        <w:jc w:val="center"/>
        <w:rPr>
          <w:rFonts w:ascii="Garamond" w:hAnsi="Garamond" w:cs="Times New Roman"/>
          <w:b/>
          <w:i/>
          <w:iCs/>
          <w:color w:val="000000"/>
          <w:sz w:val="24"/>
          <w:szCs w:val="24"/>
          <w:lang w:val="sq-AL"/>
        </w:rPr>
      </w:pPr>
      <w:r w:rsidRPr="00C67C8A">
        <w:rPr>
          <w:rFonts w:ascii="Garamond" w:hAnsi="Garamond" w:cs="Times New Roman"/>
          <w:b/>
          <w:color w:val="000000"/>
          <w:sz w:val="24"/>
          <w:szCs w:val="24"/>
          <w:lang w:val="sq-AL"/>
        </w:rPr>
        <w:t>kundër Shqipërisë</w:t>
      </w:r>
    </w:p>
    <w:p w14:paraId="630BD660" w14:textId="77777777" w:rsidR="001F4085" w:rsidRPr="00C67C8A" w:rsidRDefault="001F4085" w:rsidP="001F4085">
      <w:pPr>
        <w:autoSpaceDE w:val="0"/>
        <w:autoSpaceDN w:val="0"/>
        <w:adjustRightInd w:val="0"/>
        <w:spacing w:after="0" w:line="240" w:lineRule="auto"/>
        <w:ind w:firstLine="284"/>
        <w:jc w:val="both"/>
        <w:rPr>
          <w:rFonts w:ascii="Garamond" w:hAnsi="Garamond" w:cs="Times New Roman"/>
          <w:b/>
          <w:color w:val="000000"/>
          <w:sz w:val="24"/>
          <w:szCs w:val="24"/>
          <w:lang w:val="sq-AL"/>
        </w:rPr>
      </w:pPr>
    </w:p>
    <w:p w14:paraId="582C152A" w14:textId="3C54D699" w:rsidR="001F4085" w:rsidRPr="00C67C8A" w:rsidRDefault="001F4085" w:rsidP="001F408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C67C8A">
        <w:rPr>
          <w:rFonts w:ascii="Garamond" w:hAnsi="Garamond" w:cs="Times New Roman"/>
          <w:color w:val="000000"/>
          <w:sz w:val="24"/>
          <w:szCs w:val="24"/>
          <w:lang w:val="sq-AL"/>
        </w:rPr>
        <w:t>Gjykata E</w:t>
      </w:r>
      <w:r w:rsidR="00C67C8A">
        <w:rPr>
          <w:rFonts w:ascii="Garamond" w:hAnsi="Garamond" w:cs="Times New Roman"/>
          <w:color w:val="000000"/>
          <w:sz w:val="24"/>
          <w:szCs w:val="24"/>
          <w:lang w:val="sq-AL"/>
        </w:rPr>
        <w:t>v</w:t>
      </w:r>
      <w:r w:rsidRPr="00C67C8A">
        <w:rPr>
          <w:rFonts w:ascii="Garamond" w:hAnsi="Garamond" w:cs="Times New Roman"/>
          <w:color w:val="000000"/>
          <w:sz w:val="24"/>
          <w:szCs w:val="24"/>
          <w:lang w:val="sq-AL"/>
        </w:rPr>
        <w:t>ropiane e të Drejtave të Njeriut (Seksioni i Tretë), e mbledhur më 26 shtator 2023</w:t>
      </w:r>
      <w:r w:rsidR="00D457B6">
        <w:rPr>
          <w:rFonts w:ascii="Garamond" w:hAnsi="Garamond" w:cs="Times New Roman"/>
          <w:color w:val="000000"/>
          <w:sz w:val="24"/>
          <w:szCs w:val="24"/>
          <w:lang w:val="sq-AL"/>
        </w:rPr>
        <w:t>,</w:t>
      </w:r>
      <w:r w:rsidRPr="00C67C8A">
        <w:rPr>
          <w:rFonts w:ascii="Garamond" w:hAnsi="Garamond" w:cs="Times New Roman"/>
          <w:color w:val="000000"/>
          <w:sz w:val="24"/>
          <w:szCs w:val="24"/>
          <w:lang w:val="sq-AL"/>
        </w:rPr>
        <w:t xml:space="preserve"> si Komitet i përbërë nga:</w:t>
      </w:r>
    </w:p>
    <w:p w14:paraId="2E34C280" w14:textId="39EFCCEE" w:rsidR="001F4085" w:rsidRPr="00C67C8A" w:rsidRDefault="00803BA2" w:rsidP="001F4085">
      <w:pPr>
        <w:tabs>
          <w:tab w:val="left" w:pos="280"/>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C67C8A">
        <w:rPr>
          <w:rFonts w:ascii="Garamond" w:hAnsi="Garamond" w:cs="Times New Roman"/>
          <w:color w:val="000000"/>
          <w:sz w:val="24"/>
          <w:szCs w:val="24"/>
          <w:lang w:val="sq-AL"/>
        </w:rPr>
        <w:t xml:space="preserve"> </w:t>
      </w:r>
      <w:r w:rsidR="001F4085" w:rsidRPr="00C67C8A">
        <w:rPr>
          <w:rFonts w:ascii="Garamond" w:hAnsi="Garamond" w:cs="Times New Roman"/>
          <w:color w:val="000000"/>
          <w:sz w:val="24"/>
          <w:szCs w:val="24"/>
          <w:lang w:val="sq-AL"/>
        </w:rPr>
        <w:t>Georgios A. Serghides</w:t>
      </w:r>
      <w:r w:rsidR="001F4085" w:rsidRPr="00C67C8A">
        <w:rPr>
          <w:rFonts w:ascii="Garamond" w:hAnsi="Garamond" w:cs="Times New Roman"/>
          <w:i/>
          <w:iCs/>
          <w:color w:val="000000"/>
          <w:sz w:val="24"/>
          <w:szCs w:val="24"/>
          <w:lang w:val="sq-AL"/>
        </w:rPr>
        <w:t>, President</w:t>
      </w:r>
      <w:r w:rsidR="001F4085" w:rsidRPr="00C67C8A">
        <w:rPr>
          <w:rFonts w:ascii="Garamond" w:hAnsi="Garamond" w:cs="Times New Roman"/>
          <w:color w:val="000000"/>
          <w:sz w:val="24"/>
          <w:szCs w:val="24"/>
          <w:lang w:val="sq-AL"/>
        </w:rPr>
        <w:t>,</w:t>
      </w:r>
    </w:p>
    <w:p w14:paraId="391684F6" w14:textId="68FA29BD" w:rsidR="001F4085" w:rsidRPr="00C67C8A" w:rsidRDefault="00803BA2" w:rsidP="001F4085">
      <w:pPr>
        <w:tabs>
          <w:tab w:val="left" w:pos="280"/>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C67C8A">
        <w:rPr>
          <w:rFonts w:ascii="Garamond" w:hAnsi="Garamond" w:cs="Times New Roman"/>
          <w:color w:val="000000"/>
          <w:sz w:val="24"/>
          <w:szCs w:val="24"/>
          <w:lang w:val="sq-AL"/>
        </w:rPr>
        <w:t xml:space="preserve"> </w:t>
      </w:r>
      <w:r w:rsidR="001F4085" w:rsidRPr="00C67C8A">
        <w:rPr>
          <w:rFonts w:ascii="Garamond" w:hAnsi="Garamond" w:cs="Times New Roman"/>
          <w:color w:val="000000"/>
          <w:sz w:val="24"/>
          <w:szCs w:val="24"/>
          <w:lang w:val="sq-AL"/>
        </w:rPr>
        <w:t>Darian Pavli,</w:t>
      </w:r>
    </w:p>
    <w:p w14:paraId="2FF7B0C1" w14:textId="4D4E5F01" w:rsidR="001F4085" w:rsidRPr="00C67C8A" w:rsidRDefault="00803BA2" w:rsidP="001F4085">
      <w:pPr>
        <w:tabs>
          <w:tab w:val="left" w:pos="280"/>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C67C8A">
        <w:rPr>
          <w:rFonts w:ascii="Garamond" w:hAnsi="Garamond" w:cs="Times New Roman"/>
          <w:color w:val="000000"/>
          <w:sz w:val="24"/>
          <w:szCs w:val="24"/>
          <w:lang w:val="sq-AL"/>
        </w:rPr>
        <w:t xml:space="preserve"> </w:t>
      </w:r>
      <w:r w:rsidR="001F4085" w:rsidRPr="00C67C8A">
        <w:rPr>
          <w:rFonts w:ascii="Garamond" w:hAnsi="Garamond" w:cs="Times New Roman"/>
          <w:color w:val="000000"/>
          <w:sz w:val="24"/>
          <w:szCs w:val="24"/>
          <w:lang w:val="sq-AL"/>
        </w:rPr>
        <w:t>Oddný Mjöll Arnardóttir</w:t>
      </w:r>
      <w:r w:rsidR="001F4085" w:rsidRPr="00C67C8A">
        <w:rPr>
          <w:rFonts w:ascii="Garamond" w:hAnsi="Garamond" w:cs="Times New Roman"/>
          <w:i/>
          <w:iCs/>
          <w:color w:val="000000"/>
          <w:sz w:val="24"/>
          <w:szCs w:val="24"/>
          <w:lang w:val="sq-AL"/>
        </w:rPr>
        <w:t>, gjyqtarë</w:t>
      </w:r>
      <w:r w:rsidR="001F4085" w:rsidRPr="00C67C8A">
        <w:rPr>
          <w:rFonts w:ascii="Garamond" w:hAnsi="Garamond" w:cs="Times New Roman"/>
          <w:color w:val="000000"/>
          <w:sz w:val="24"/>
          <w:szCs w:val="24"/>
          <w:lang w:val="sq-AL"/>
        </w:rPr>
        <w:t>,</w:t>
      </w:r>
    </w:p>
    <w:p w14:paraId="4C44985B" w14:textId="2143DDD7" w:rsidR="001F4085" w:rsidRPr="00C67C8A" w:rsidRDefault="001F4085" w:rsidP="001F4085">
      <w:pPr>
        <w:tabs>
          <w:tab w:val="left" w:pos="280"/>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C67C8A">
        <w:rPr>
          <w:rFonts w:ascii="Garamond" w:hAnsi="Garamond" w:cs="Times New Roman"/>
          <w:color w:val="000000"/>
          <w:sz w:val="24"/>
          <w:szCs w:val="24"/>
          <w:lang w:val="sq-AL"/>
        </w:rPr>
        <w:t xml:space="preserve">dhe Olga Chernishova, </w:t>
      </w:r>
      <w:r w:rsidR="00C67C8A" w:rsidRPr="00C67C8A">
        <w:rPr>
          <w:rFonts w:ascii="Garamond" w:hAnsi="Garamond" w:cs="Times New Roman"/>
          <w:i/>
          <w:iCs/>
          <w:color w:val="000000"/>
          <w:sz w:val="24"/>
          <w:szCs w:val="24"/>
          <w:lang w:val="sq-AL"/>
        </w:rPr>
        <w:t xml:space="preserve">zëvendëskancelare </w:t>
      </w:r>
      <w:r w:rsidRPr="00C67C8A">
        <w:rPr>
          <w:rFonts w:ascii="Garamond" w:hAnsi="Garamond" w:cs="Times New Roman"/>
          <w:i/>
          <w:iCs/>
          <w:color w:val="000000"/>
          <w:sz w:val="24"/>
          <w:szCs w:val="24"/>
          <w:lang w:val="sq-AL"/>
        </w:rPr>
        <w:t>e Seksionit,</w:t>
      </w:r>
    </w:p>
    <w:p w14:paraId="7E95B665" w14:textId="77777777" w:rsidR="001F4085" w:rsidRPr="00C67C8A" w:rsidRDefault="001F4085" w:rsidP="001F408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C67C8A">
        <w:rPr>
          <w:rFonts w:ascii="Garamond" w:hAnsi="Garamond" w:cs="Times New Roman"/>
          <w:color w:val="000000"/>
          <w:sz w:val="24"/>
          <w:szCs w:val="24"/>
          <w:lang w:val="sq-AL"/>
        </w:rPr>
        <w:t>Duke pasur parasysh:</w:t>
      </w:r>
    </w:p>
    <w:p w14:paraId="50832AA4" w14:textId="1D566E32" w:rsidR="001F4085" w:rsidRPr="00C67C8A" w:rsidRDefault="001F4085" w:rsidP="001F408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C67C8A">
        <w:rPr>
          <w:rFonts w:ascii="Garamond" w:hAnsi="Garamond" w:cs="Times New Roman"/>
          <w:color w:val="000000"/>
          <w:sz w:val="24"/>
          <w:szCs w:val="24"/>
          <w:lang w:val="sq-AL"/>
        </w:rPr>
        <w:t>kërkesën (nr. 53488/15) kundër Republikës së Shqipërisë të depozituar në Gjykatë sipas nenit 34 të Konventës për Mbrojtjen e të Drejtave dhe Lirive Themelore të Njeriut (“Konventa”)</w:t>
      </w:r>
      <w:r w:rsidR="00C67C8A">
        <w:rPr>
          <w:rFonts w:ascii="Garamond" w:hAnsi="Garamond" w:cs="Times New Roman"/>
          <w:color w:val="000000"/>
          <w:sz w:val="24"/>
          <w:szCs w:val="24"/>
          <w:lang w:val="sq-AL"/>
        </w:rPr>
        <w:t>,</w:t>
      </w:r>
      <w:r w:rsidRPr="00C67C8A">
        <w:rPr>
          <w:rFonts w:ascii="Garamond" w:hAnsi="Garamond" w:cs="Times New Roman"/>
          <w:color w:val="000000"/>
          <w:sz w:val="24"/>
          <w:szCs w:val="24"/>
          <w:lang w:val="sq-AL"/>
        </w:rPr>
        <w:t xml:space="preserve"> më 21 tetor 2015 nga kërkuesit e listuar në tabelën bashkëlidhur (“kërkuesit”) të përfaqësuar nga </w:t>
      </w:r>
      <w:r w:rsidR="00C67C8A">
        <w:rPr>
          <w:rFonts w:ascii="Garamond" w:hAnsi="Garamond" w:cs="Times New Roman"/>
          <w:color w:val="000000"/>
          <w:sz w:val="24"/>
          <w:szCs w:val="24"/>
          <w:lang w:val="sq-AL"/>
        </w:rPr>
        <w:t>z</w:t>
      </w:r>
      <w:r w:rsidRPr="00C67C8A">
        <w:rPr>
          <w:rFonts w:ascii="Garamond" w:hAnsi="Garamond" w:cs="Times New Roman"/>
          <w:color w:val="000000"/>
          <w:sz w:val="24"/>
          <w:szCs w:val="24"/>
          <w:lang w:val="sq-AL"/>
        </w:rPr>
        <w:t>. A.</w:t>
      </w:r>
      <w:r w:rsidR="00456C75">
        <w:rPr>
          <w:rFonts w:ascii="Garamond" w:hAnsi="Garamond" w:cs="Times New Roman"/>
          <w:color w:val="000000"/>
          <w:sz w:val="24"/>
          <w:szCs w:val="24"/>
          <w:lang w:val="sq-AL"/>
        </w:rPr>
        <w:t xml:space="preserve"> </w:t>
      </w:r>
      <w:r w:rsidRPr="00C67C8A">
        <w:rPr>
          <w:rFonts w:ascii="Garamond" w:hAnsi="Garamond" w:cs="Times New Roman"/>
          <w:color w:val="000000"/>
          <w:sz w:val="24"/>
          <w:szCs w:val="24"/>
          <w:lang w:val="sq-AL"/>
        </w:rPr>
        <w:t>Saccussi, avokat i licencuar në Romë;</w:t>
      </w:r>
    </w:p>
    <w:p w14:paraId="5307A96C" w14:textId="3F73DF9C" w:rsidR="001F4085" w:rsidRPr="00C67C8A" w:rsidRDefault="001F4085" w:rsidP="001F408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C67C8A">
        <w:rPr>
          <w:rFonts w:ascii="Garamond" w:hAnsi="Garamond" w:cs="Times New Roman"/>
          <w:color w:val="000000"/>
          <w:sz w:val="24"/>
          <w:szCs w:val="24"/>
          <w:lang w:val="sq-AL"/>
        </w:rPr>
        <w:t>vendimin për të njoftuar për kërkesën</w:t>
      </w:r>
      <w:r w:rsidRPr="00C67C8A">
        <w:rPr>
          <w:rFonts w:ascii="Garamond" w:hAnsi="Garamond" w:cs="Times New Roman"/>
          <w:color w:val="FFFFFF"/>
          <w:sz w:val="24"/>
          <w:szCs w:val="24"/>
          <w:lang w:val="sq-AL"/>
        </w:rPr>
        <w:t xml:space="preserve"> </w:t>
      </w:r>
      <w:r w:rsidRPr="00C67C8A">
        <w:rPr>
          <w:rFonts w:ascii="Garamond" w:hAnsi="Garamond" w:cs="Times New Roman"/>
          <w:color w:val="000000"/>
          <w:sz w:val="24"/>
          <w:szCs w:val="24"/>
          <w:lang w:val="sq-AL"/>
        </w:rPr>
        <w:t xml:space="preserve">Qeverinë e Shqipërisë (“Qeveria”) të përfaqësuar fillimisht nga </w:t>
      </w:r>
      <w:r w:rsidR="00C67C8A" w:rsidRPr="00C67C8A">
        <w:rPr>
          <w:rFonts w:ascii="Garamond" w:hAnsi="Garamond" w:cs="Times New Roman"/>
          <w:color w:val="000000"/>
          <w:sz w:val="24"/>
          <w:szCs w:val="24"/>
          <w:lang w:val="sq-AL"/>
        </w:rPr>
        <w:t>agjentja znj</w:t>
      </w:r>
      <w:r w:rsidRPr="00C67C8A">
        <w:rPr>
          <w:rFonts w:ascii="Garamond" w:hAnsi="Garamond" w:cs="Times New Roman"/>
          <w:color w:val="000000"/>
          <w:sz w:val="24"/>
          <w:szCs w:val="24"/>
          <w:lang w:val="sq-AL"/>
        </w:rPr>
        <w:t xml:space="preserve">. A.Hiçka, dhe më pas nga </w:t>
      </w:r>
      <w:r w:rsidR="00C67C8A" w:rsidRPr="00C67C8A">
        <w:rPr>
          <w:rFonts w:ascii="Garamond" w:hAnsi="Garamond" w:cs="Times New Roman"/>
          <w:color w:val="000000"/>
          <w:sz w:val="24"/>
          <w:szCs w:val="24"/>
          <w:lang w:val="sq-AL"/>
        </w:rPr>
        <w:t>agjenti z</w:t>
      </w:r>
      <w:r w:rsidRPr="00C67C8A">
        <w:rPr>
          <w:rFonts w:ascii="Garamond" w:hAnsi="Garamond" w:cs="Times New Roman"/>
          <w:color w:val="000000"/>
          <w:sz w:val="24"/>
          <w:szCs w:val="24"/>
          <w:lang w:val="sq-AL"/>
        </w:rPr>
        <w:t>. O.Moçka, Avokat i Përgjithshëm i Shtetit;</w:t>
      </w:r>
    </w:p>
    <w:p w14:paraId="67FB77E3" w14:textId="77777777" w:rsidR="001F4085" w:rsidRPr="00C67C8A" w:rsidRDefault="001F4085" w:rsidP="001F408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C67C8A">
        <w:rPr>
          <w:rFonts w:ascii="Garamond" w:hAnsi="Garamond" w:cs="Times New Roman"/>
          <w:color w:val="000000"/>
          <w:sz w:val="24"/>
          <w:szCs w:val="24"/>
          <w:lang w:val="sq-AL"/>
        </w:rPr>
        <w:t xml:space="preserve">parashtrimet e depozituara nga Qeveria e paditur dhe prapësimet e paraqitura nga kërkuesit; </w:t>
      </w:r>
    </w:p>
    <w:p w14:paraId="35332FA2" w14:textId="19F2D110" w:rsidR="001F4085" w:rsidRPr="00C67C8A" w:rsidRDefault="001F4085" w:rsidP="001F408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C67C8A">
        <w:rPr>
          <w:rFonts w:ascii="Garamond" w:hAnsi="Garamond" w:cs="Times New Roman"/>
          <w:color w:val="000000"/>
          <w:sz w:val="24"/>
          <w:szCs w:val="24"/>
          <w:lang w:val="sq-AL"/>
        </w:rPr>
        <w:t>faktin që Qeveria Italiane nuk ka kërkuar të ushtrojë të drejtën e saj për të ndërhyrë (</w:t>
      </w:r>
      <w:r w:rsidR="00C67C8A">
        <w:rPr>
          <w:rFonts w:ascii="Garamond" w:hAnsi="Garamond" w:cs="Times New Roman"/>
          <w:color w:val="000000"/>
          <w:sz w:val="24"/>
          <w:szCs w:val="24"/>
          <w:lang w:val="sq-AL"/>
        </w:rPr>
        <w:t>n</w:t>
      </w:r>
      <w:r w:rsidRPr="00C67C8A">
        <w:rPr>
          <w:rFonts w:ascii="Garamond" w:hAnsi="Garamond" w:cs="Times New Roman"/>
          <w:color w:val="000000"/>
          <w:sz w:val="24"/>
          <w:szCs w:val="24"/>
          <w:lang w:val="sq-AL"/>
        </w:rPr>
        <w:t>eni 36 § 1 i Konventës dhe Rregulli 44 § 1 i Rregullores së Gjykatës);</w:t>
      </w:r>
    </w:p>
    <w:p w14:paraId="07B73079" w14:textId="5AC810C4" w:rsidR="001F4085" w:rsidRPr="00C67C8A" w:rsidRDefault="001F4085" w:rsidP="001F408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C67C8A">
        <w:rPr>
          <w:rFonts w:ascii="Garamond" w:hAnsi="Garamond" w:cs="Times New Roman"/>
          <w:color w:val="000000"/>
          <w:sz w:val="24"/>
          <w:szCs w:val="24"/>
          <w:lang w:val="sq-AL"/>
        </w:rPr>
        <w:t xml:space="preserve">komentet e depozituara nga Res Publica që </w:t>
      </w:r>
      <w:r w:rsidR="00456C75">
        <w:rPr>
          <w:rFonts w:ascii="Garamond" w:hAnsi="Garamond" w:cs="Times New Roman"/>
          <w:color w:val="000000"/>
          <w:sz w:val="24"/>
          <w:szCs w:val="24"/>
          <w:lang w:val="sq-AL"/>
        </w:rPr>
        <w:t>i</w:t>
      </w:r>
      <w:r w:rsidRPr="00C67C8A">
        <w:rPr>
          <w:rFonts w:ascii="Garamond" w:hAnsi="Garamond" w:cs="Times New Roman"/>
          <w:color w:val="000000"/>
          <w:sz w:val="24"/>
          <w:szCs w:val="24"/>
          <w:lang w:val="sq-AL"/>
        </w:rPr>
        <w:t>u dha leje të ndërhyjë nga Presidenti i Seksionit;</w:t>
      </w:r>
    </w:p>
    <w:p w14:paraId="19CB4489" w14:textId="77777777" w:rsidR="001F4085" w:rsidRPr="00C67C8A" w:rsidRDefault="001F4085" w:rsidP="001F408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C67C8A">
        <w:rPr>
          <w:rFonts w:ascii="Garamond" w:hAnsi="Garamond" w:cs="Times New Roman"/>
          <w:color w:val="000000"/>
          <w:sz w:val="24"/>
          <w:szCs w:val="24"/>
          <w:lang w:val="sq-AL"/>
        </w:rPr>
        <w:t>Pas diskutimit, vendosi si më poshtë:</w:t>
      </w:r>
    </w:p>
    <w:p w14:paraId="0F644E59" w14:textId="77777777" w:rsidR="00C67C8A" w:rsidRDefault="00C67C8A" w:rsidP="001F4085">
      <w:pPr>
        <w:keepLines/>
        <w:tabs>
          <w:tab w:val="left" w:pos="360"/>
        </w:tabs>
        <w:autoSpaceDE w:val="0"/>
        <w:autoSpaceDN w:val="0"/>
        <w:adjustRightInd w:val="0"/>
        <w:spacing w:after="0" w:line="240" w:lineRule="auto"/>
        <w:ind w:firstLine="284"/>
        <w:jc w:val="both"/>
        <w:rPr>
          <w:rFonts w:ascii="Garamond" w:hAnsi="Garamond" w:cs="Times New Roman"/>
          <w:caps/>
          <w:color w:val="000000"/>
          <w:sz w:val="24"/>
          <w:szCs w:val="24"/>
          <w:lang w:val="sq-AL"/>
        </w:rPr>
      </w:pPr>
    </w:p>
    <w:p w14:paraId="2611068D" w14:textId="7FEBAD4D" w:rsidR="001F4085" w:rsidRPr="00C67C8A" w:rsidRDefault="001F4085" w:rsidP="001F4085">
      <w:pPr>
        <w:keepLines/>
        <w:tabs>
          <w:tab w:val="left" w:pos="360"/>
        </w:tabs>
        <w:autoSpaceDE w:val="0"/>
        <w:autoSpaceDN w:val="0"/>
        <w:adjustRightInd w:val="0"/>
        <w:spacing w:after="0" w:line="240" w:lineRule="auto"/>
        <w:ind w:firstLine="284"/>
        <w:jc w:val="both"/>
        <w:rPr>
          <w:rFonts w:ascii="Garamond" w:hAnsi="Garamond" w:cs="Times New Roman"/>
          <w:caps/>
          <w:color w:val="000000"/>
          <w:sz w:val="24"/>
          <w:szCs w:val="24"/>
          <w:lang w:val="sq-AL"/>
        </w:rPr>
      </w:pPr>
      <w:r w:rsidRPr="00C67C8A">
        <w:rPr>
          <w:rFonts w:ascii="Garamond" w:hAnsi="Garamond" w:cs="Times New Roman"/>
          <w:caps/>
          <w:color w:val="000000"/>
          <w:sz w:val="24"/>
          <w:szCs w:val="24"/>
          <w:lang w:val="sq-AL"/>
        </w:rPr>
        <w:t>OBJEKTI I ÇËSHTJES</w:t>
      </w:r>
    </w:p>
    <w:p w14:paraId="76350D56" w14:textId="4A656B7D" w:rsidR="001F4085" w:rsidRPr="00C67C8A" w:rsidRDefault="001F4085" w:rsidP="001F4085">
      <w:pPr>
        <w:tabs>
          <w:tab w:val="left" w:pos="360"/>
        </w:tabs>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C67C8A">
        <w:rPr>
          <w:rFonts w:ascii="Garamond" w:hAnsi="Garamond" w:cs="Times New Roman"/>
          <w:b/>
          <w:bCs/>
          <w:color w:val="000000"/>
          <w:sz w:val="24"/>
          <w:szCs w:val="24"/>
          <w:lang w:val="sq-AL"/>
        </w:rPr>
        <w:t>A.</w:t>
      </w:r>
      <w:r w:rsidR="00803BA2" w:rsidRPr="00C67C8A">
        <w:rPr>
          <w:rFonts w:ascii="Garamond" w:hAnsi="Garamond" w:cs="Times New Roman"/>
          <w:b/>
          <w:bCs/>
          <w:color w:val="000000"/>
          <w:sz w:val="24"/>
          <w:szCs w:val="24"/>
          <w:lang w:val="sq-AL"/>
        </w:rPr>
        <w:t xml:space="preserve"> </w:t>
      </w:r>
      <w:r w:rsidRPr="00C67C8A">
        <w:rPr>
          <w:rFonts w:ascii="Garamond" w:hAnsi="Garamond" w:cs="Times New Roman"/>
          <w:b/>
          <w:bCs/>
          <w:color w:val="000000"/>
          <w:sz w:val="24"/>
          <w:szCs w:val="24"/>
          <w:lang w:val="sq-AL"/>
        </w:rPr>
        <w:t>Faktet e çështjes</w:t>
      </w:r>
    </w:p>
    <w:p w14:paraId="6C4D8C55" w14:textId="14B3BEFB" w:rsidR="001F4085" w:rsidRPr="00C67C8A" w:rsidRDefault="001F4085" w:rsidP="001F408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C67C8A">
        <w:rPr>
          <w:rFonts w:ascii="Garamond" w:hAnsi="Garamond" w:cs="Times New Roman"/>
          <w:color w:val="000000"/>
          <w:sz w:val="24"/>
          <w:szCs w:val="24"/>
          <w:lang w:val="sq-AL"/>
        </w:rPr>
        <w:t>72.</w:t>
      </w:r>
      <w:r w:rsidR="00803BA2" w:rsidRPr="00C67C8A">
        <w:rPr>
          <w:rFonts w:ascii="Garamond" w:hAnsi="Garamond" w:cs="Times New Roman"/>
          <w:color w:val="000000"/>
          <w:sz w:val="24"/>
          <w:szCs w:val="24"/>
          <w:lang w:val="sq-AL"/>
        </w:rPr>
        <w:t xml:space="preserve"> </w:t>
      </w:r>
      <w:r w:rsidRPr="00C67C8A">
        <w:rPr>
          <w:rFonts w:ascii="Garamond" w:hAnsi="Garamond" w:cs="Times New Roman"/>
          <w:color w:val="000000"/>
          <w:sz w:val="24"/>
          <w:szCs w:val="24"/>
          <w:lang w:val="sq-AL"/>
        </w:rPr>
        <w:t>Çështja ka të bëjë me dy probleme: ankimimi i kërkuesit të katërt sipas nenit 3 të Konventës për vendosjen e prangave në seancë; dhe disa deklarata të Kryeministrit për të cilat kërkuesit pretendojnë se bien në kundërshtim me të drejtën e tyre për prezumimin e pafajësisë.</w:t>
      </w:r>
    </w:p>
    <w:p w14:paraId="760D8EE3" w14:textId="5E845BC2" w:rsidR="001F4085" w:rsidRPr="00C67C8A" w:rsidRDefault="001F4085" w:rsidP="001F408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C67C8A">
        <w:rPr>
          <w:rFonts w:ascii="Garamond" w:hAnsi="Garamond" w:cs="Times New Roman"/>
          <w:color w:val="000000"/>
          <w:sz w:val="24"/>
          <w:szCs w:val="24"/>
          <w:lang w:val="sq-AL"/>
        </w:rPr>
        <w:t>73.</w:t>
      </w:r>
      <w:r w:rsidR="00803BA2" w:rsidRPr="00C67C8A">
        <w:rPr>
          <w:rFonts w:ascii="Garamond" w:hAnsi="Garamond" w:cs="Times New Roman"/>
          <w:color w:val="000000"/>
          <w:sz w:val="24"/>
          <w:szCs w:val="24"/>
          <w:lang w:val="sq-AL"/>
        </w:rPr>
        <w:t xml:space="preserve"> </w:t>
      </w:r>
      <w:r w:rsidRPr="00C67C8A">
        <w:rPr>
          <w:rFonts w:ascii="Garamond" w:hAnsi="Garamond" w:cs="Times New Roman"/>
          <w:color w:val="000000"/>
          <w:sz w:val="24"/>
          <w:szCs w:val="24"/>
          <w:lang w:val="sq-AL"/>
        </w:rPr>
        <w:t>Kërkuesit janë aksionerë në disa shoqëri tregtare.</w:t>
      </w:r>
      <w:r w:rsidR="00803BA2" w:rsidRPr="00C67C8A">
        <w:rPr>
          <w:rFonts w:ascii="Garamond" w:hAnsi="Garamond" w:cs="Times New Roman"/>
          <w:color w:val="000000"/>
          <w:sz w:val="24"/>
          <w:szCs w:val="24"/>
          <w:lang w:val="sq-AL"/>
        </w:rPr>
        <w:t xml:space="preserve"> </w:t>
      </w:r>
      <w:r w:rsidRPr="00C67C8A">
        <w:rPr>
          <w:rFonts w:ascii="Garamond" w:hAnsi="Garamond" w:cs="Times New Roman"/>
          <w:color w:val="000000"/>
          <w:sz w:val="24"/>
          <w:szCs w:val="24"/>
          <w:lang w:val="sq-AL"/>
        </w:rPr>
        <w:t xml:space="preserve">Kërkuesi i parë është gjithashtu pronar i </w:t>
      </w:r>
      <w:r w:rsidR="00A8648B">
        <w:rPr>
          <w:rFonts w:ascii="Garamond" w:hAnsi="Garamond" w:cs="Times New Roman"/>
          <w:color w:val="000000"/>
          <w:sz w:val="24"/>
          <w:szCs w:val="24"/>
          <w:lang w:val="sq-AL"/>
        </w:rPr>
        <w:t>“</w:t>
      </w:r>
      <w:r w:rsidRPr="00C67C8A">
        <w:rPr>
          <w:rFonts w:ascii="Garamond" w:hAnsi="Garamond" w:cs="Times New Roman"/>
          <w:color w:val="000000"/>
          <w:sz w:val="24"/>
          <w:szCs w:val="24"/>
          <w:lang w:val="sq-AL"/>
        </w:rPr>
        <w:t>Agon Channel</w:t>
      </w:r>
      <w:r w:rsidR="00A8648B">
        <w:rPr>
          <w:rFonts w:ascii="Garamond" w:hAnsi="Garamond" w:cs="Times New Roman"/>
          <w:color w:val="000000"/>
          <w:sz w:val="24"/>
          <w:szCs w:val="24"/>
          <w:lang w:val="sq-AL"/>
        </w:rPr>
        <w:t>”</w:t>
      </w:r>
      <w:r w:rsidRPr="00C67C8A">
        <w:rPr>
          <w:rFonts w:ascii="Garamond" w:hAnsi="Garamond" w:cs="Times New Roman"/>
          <w:color w:val="000000"/>
          <w:sz w:val="24"/>
          <w:szCs w:val="24"/>
          <w:lang w:val="sq-AL"/>
        </w:rPr>
        <w:t>, një kanal televiziv privat që transmeton në Shqipëri dhe Itali. Kundër kërkuesve ka filluar procedimi penal me akuzën e falsifikimit të dokumenteve dhe pastrimit të parave.</w:t>
      </w:r>
    </w:p>
    <w:p w14:paraId="012F9DF8" w14:textId="439E82FA" w:rsidR="001F4085" w:rsidRPr="00C67C8A" w:rsidRDefault="001F4085" w:rsidP="001F408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C67C8A">
        <w:rPr>
          <w:rFonts w:ascii="Garamond" w:hAnsi="Garamond" w:cs="Times New Roman"/>
          <w:color w:val="000000"/>
          <w:sz w:val="24"/>
          <w:szCs w:val="24"/>
          <w:lang w:val="sq-AL"/>
        </w:rPr>
        <w:t>74.</w:t>
      </w:r>
      <w:r w:rsidR="00803BA2" w:rsidRPr="00C67C8A">
        <w:rPr>
          <w:rFonts w:ascii="Garamond" w:hAnsi="Garamond" w:cs="Times New Roman"/>
          <w:color w:val="000000"/>
          <w:sz w:val="24"/>
          <w:szCs w:val="24"/>
          <w:lang w:val="sq-AL"/>
        </w:rPr>
        <w:t xml:space="preserve"> </w:t>
      </w:r>
      <w:r w:rsidRPr="00C67C8A">
        <w:rPr>
          <w:rFonts w:ascii="Garamond" w:hAnsi="Garamond" w:cs="Times New Roman"/>
          <w:color w:val="000000"/>
          <w:sz w:val="24"/>
          <w:szCs w:val="24"/>
          <w:lang w:val="sq-AL"/>
        </w:rPr>
        <w:t>Në seancën e mbajtur më 9 qershor 2015, në lidhje me një masë sigurimi të vendosur ndaj kërkueses së katërt, ajo u shoqërua në sallën e seancës me pranga në duar.</w:t>
      </w:r>
    </w:p>
    <w:p w14:paraId="1ACBDE2E" w14:textId="0E3CF845" w:rsidR="001F4085" w:rsidRPr="00C67C8A" w:rsidRDefault="001F4085" w:rsidP="001F408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C67C8A">
        <w:rPr>
          <w:rFonts w:ascii="Garamond" w:hAnsi="Garamond" w:cs="Times New Roman"/>
          <w:color w:val="000000"/>
          <w:sz w:val="24"/>
          <w:szCs w:val="24"/>
          <w:lang w:val="sq-AL"/>
        </w:rPr>
        <w:t>75.</w:t>
      </w:r>
      <w:r w:rsidR="00803BA2" w:rsidRPr="00C67C8A">
        <w:rPr>
          <w:rFonts w:ascii="Garamond" w:hAnsi="Garamond" w:cs="Times New Roman"/>
          <w:color w:val="000000"/>
          <w:sz w:val="24"/>
          <w:szCs w:val="24"/>
          <w:lang w:val="sq-AL"/>
        </w:rPr>
        <w:t xml:space="preserve"> </w:t>
      </w:r>
      <w:r w:rsidRPr="00C67C8A">
        <w:rPr>
          <w:rFonts w:ascii="Garamond" w:hAnsi="Garamond" w:cs="Times New Roman"/>
          <w:color w:val="000000"/>
          <w:sz w:val="24"/>
          <w:szCs w:val="24"/>
          <w:lang w:val="sq-AL"/>
        </w:rPr>
        <w:t>Më 9 qershor 2015, Kryeministri postoi një mesazh në Twitter ku i referohej “parave të pista që furnizonin” shoqërinë e kërkuesve. Gjithashtu më 12, 15 dhe 17 qershor 2015 ai mori pjesë në disa programe televizive ku komentoi hetimin për pastrimin e parave në Shqipëri.</w:t>
      </w:r>
    </w:p>
    <w:p w14:paraId="1A174F33" w14:textId="18884DF0" w:rsidR="001F4085" w:rsidRPr="00C67C8A" w:rsidRDefault="001F4085" w:rsidP="001F408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C67C8A">
        <w:rPr>
          <w:rFonts w:ascii="Garamond" w:hAnsi="Garamond" w:cs="Times New Roman"/>
          <w:color w:val="000000"/>
          <w:sz w:val="24"/>
          <w:szCs w:val="24"/>
          <w:lang w:val="sq-AL"/>
        </w:rPr>
        <w:t>76.</w:t>
      </w:r>
      <w:r w:rsidR="00803BA2" w:rsidRPr="00C67C8A">
        <w:rPr>
          <w:rFonts w:ascii="Garamond" w:hAnsi="Garamond" w:cs="Times New Roman"/>
          <w:color w:val="000000"/>
          <w:sz w:val="24"/>
          <w:szCs w:val="24"/>
          <w:lang w:val="sq-AL"/>
        </w:rPr>
        <w:t xml:space="preserve"> </w:t>
      </w:r>
      <w:r w:rsidRPr="00C67C8A">
        <w:rPr>
          <w:rFonts w:ascii="Garamond" w:hAnsi="Garamond" w:cs="Times New Roman"/>
          <w:color w:val="000000"/>
          <w:sz w:val="24"/>
          <w:szCs w:val="24"/>
          <w:lang w:val="sq-AL"/>
        </w:rPr>
        <w:t>Më 23 shkurt 2022, kërkuesit u dënuan në shkallë të parë. Të gjithë kërkuesit e ankimuan vendimin në apel ku vendimi është akoma në pritje.</w:t>
      </w:r>
    </w:p>
    <w:p w14:paraId="0B461742" w14:textId="4381761B" w:rsidR="001F4085" w:rsidRPr="00C67C8A" w:rsidRDefault="001F4085" w:rsidP="001F4085">
      <w:pPr>
        <w:keepLines/>
        <w:tabs>
          <w:tab w:val="left" w:pos="360"/>
        </w:tabs>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C67C8A">
        <w:rPr>
          <w:rFonts w:ascii="Garamond" w:hAnsi="Garamond" w:cs="Times New Roman"/>
          <w:b/>
          <w:bCs/>
          <w:color w:val="000000"/>
          <w:sz w:val="24"/>
          <w:szCs w:val="24"/>
          <w:lang w:val="sq-AL"/>
        </w:rPr>
        <w:t>B.</w:t>
      </w:r>
      <w:r w:rsidR="00803BA2" w:rsidRPr="00C67C8A">
        <w:rPr>
          <w:rFonts w:ascii="Garamond" w:hAnsi="Garamond" w:cs="Times New Roman"/>
          <w:b/>
          <w:bCs/>
          <w:color w:val="000000"/>
          <w:sz w:val="24"/>
          <w:szCs w:val="24"/>
          <w:lang w:val="sq-AL"/>
        </w:rPr>
        <w:t xml:space="preserve"> </w:t>
      </w:r>
      <w:r w:rsidRPr="00C67C8A">
        <w:rPr>
          <w:rFonts w:ascii="Garamond" w:hAnsi="Garamond" w:cs="Times New Roman"/>
          <w:b/>
          <w:bCs/>
          <w:color w:val="000000"/>
          <w:sz w:val="24"/>
          <w:szCs w:val="24"/>
          <w:lang w:val="sq-AL"/>
        </w:rPr>
        <w:t>Praktika dhe legjislacioni përkatës i brendshëm</w:t>
      </w:r>
    </w:p>
    <w:p w14:paraId="1AF6F1E5" w14:textId="0B04ACE9" w:rsidR="001F4085" w:rsidRPr="00C67C8A" w:rsidRDefault="001F4085" w:rsidP="001F4085">
      <w:pPr>
        <w:tabs>
          <w:tab w:val="left" w:pos="36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C67C8A">
        <w:rPr>
          <w:rFonts w:ascii="Garamond" w:hAnsi="Garamond" w:cs="Times New Roman"/>
          <w:color w:val="000000"/>
          <w:sz w:val="24"/>
          <w:szCs w:val="24"/>
          <w:lang w:val="sq-AL"/>
        </w:rPr>
        <w:t>77.</w:t>
      </w:r>
      <w:r w:rsidR="00803BA2" w:rsidRPr="00C67C8A">
        <w:rPr>
          <w:rFonts w:ascii="Garamond" w:hAnsi="Garamond" w:cs="Times New Roman"/>
          <w:color w:val="000000"/>
          <w:sz w:val="24"/>
          <w:szCs w:val="24"/>
          <w:lang w:val="sq-AL"/>
        </w:rPr>
        <w:t xml:space="preserve"> </w:t>
      </w:r>
      <w:r w:rsidRPr="00C67C8A">
        <w:rPr>
          <w:rFonts w:ascii="Garamond" w:hAnsi="Garamond" w:cs="Times New Roman"/>
          <w:color w:val="000000"/>
          <w:sz w:val="24"/>
          <w:szCs w:val="24"/>
          <w:lang w:val="sq-AL"/>
        </w:rPr>
        <w:t xml:space="preserve">Ligji nr. 8328/1998, në fuqi në momentin në fjalë, parashikonte mbrojtjen e të drejtave themelore të të paraburgosurve, sidomos mbrojtjen e tyre nga trajtimi çnjerëzor ose poshtërues. Neni 57 dhe 58 i ligjit rregullon përdorimin e masave kufizuese, sidomos përdorimin e prangave gjatë transferimit të të paraburgosurve. Sipas nenit 71, gjykata kompetente e rrethit shqyrton çdo ankim në </w:t>
      </w:r>
      <w:r w:rsidRPr="00C67C8A">
        <w:rPr>
          <w:rFonts w:ascii="Garamond" w:hAnsi="Garamond" w:cs="Times New Roman"/>
          <w:color w:val="000000"/>
          <w:sz w:val="24"/>
          <w:szCs w:val="24"/>
          <w:lang w:val="sq-AL"/>
        </w:rPr>
        <w:lastRenderedPageBreak/>
        <w:t>lidhje me “çështjet që kanë të bëjnë me të drejtat e të paraburgosurve” nëse Kodi i Procedurës Penale nuk parashikon ndryshe.</w:t>
      </w:r>
    </w:p>
    <w:p w14:paraId="0EAA8EC9" w14:textId="3E1837F6" w:rsidR="001F4085" w:rsidRPr="00C67C8A" w:rsidRDefault="001F4085" w:rsidP="001F4085">
      <w:pPr>
        <w:tabs>
          <w:tab w:val="left" w:pos="36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C67C8A">
        <w:rPr>
          <w:rFonts w:ascii="Garamond" w:hAnsi="Garamond" w:cs="Times New Roman"/>
          <w:color w:val="000000"/>
          <w:sz w:val="24"/>
          <w:szCs w:val="24"/>
          <w:lang w:val="sq-AL"/>
        </w:rPr>
        <w:t>78.</w:t>
      </w:r>
      <w:r w:rsidR="00803BA2" w:rsidRPr="00C67C8A">
        <w:rPr>
          <w:rFonts w:ascii="Garamond" w:hAnsi="Garamond" w:cs="Times New Roman"/>
          <w:color w:val="000000"/>
          <w:sz w:val="24"/>
          <w:szCs w:val="24"/>
          <w:lang w:val="sq-AL"/>
        </w:rPr>
        <w:t xml:space="preserve"> </w:t>
      </w:r>
      <w:r w:rsidRPr="00C67C8A">
        <w:rPr>
          <w:rFonts w:ascii="Garamond" w:hAnsi="Garamond" w:cs="Times New Roman"/>
          <w:color w:val="000000"/>
          <w:sz w:val="24"/>
          <w:szCs w:val="24"/>
          <w:lang w:val="sq-AL"/>
        </w:rPr>
        <w:t>Në vendimin e saj nr.</w:t>
      </w:r>
      <w:r w:rsidR="00EE56F8">
        <w:rPr>
          <w:rFonts w:ascii="Garamond" w:hAnsi="Garamond" w:cs="Times New Roman"/>
          <w:color w:val="000000"/>
          <w:sz w:val="24"/>
          <w:szCs w:val="24"/>
          <w:lang w:val="sq-AL"/>
        </w:rPr>
        <w:t xml:space="preserve"> </w:t>
      </w:r>
      <w:r w:rsidRPr="00C67C8A">
        <w:rPr>
          <w:rFonts w:ascii="Garamond" w:hAnsi="Garamond" w:cs="Times New Roman"/>
          <w:color w:val="000000"/>
          <w:sz w:val="24"/>
          <w:szCs w:val="24"/>
          <w:lang w:val="sq-AL"/>
        </w:rPr>
        <w:t>57 të 21 dhjetorit 2012, Gjykata Kushtetuese konsideroi prezumimin e pafajësisë (të garantuar nga neni 30 i Kushtetutës) si një nga elementët përbërës të gjykimit të drejtë.</w:t>
      </w:r>
    </w:p>
    <w:p w14:paraId="403473C6" w14:textId="2CCF261E" w:rsidR="001F4085" w:rsidRPr="00C67C8A" w:rsidRDefault="001F4085" w:rsidP="001F4085">
      <w:pPr>
        <w:tabs>
          <w:tab w:val="left" w:pos="36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C67C8A">
        <w:rPr>
          <w:rFonts w:ascii="Garamond" w:hAnsi="Garamond" w:cs="Times New Roman"/>
          <w:color w:val="000000"/>
          <w:sz w:val="24"/>
          <w:szCs w:val="24"/>
          <w:lang w:val="sq-AL"/>
        </w:rPr>
        <w:t>79.</w:t>
      </w:r>
      <w:r w:rsidR="00803BA2" w:rsidRPr="00C67C8A">
        <w:rPr>
          <w:rFonts w:ascii="Garamond" w:hAnsi="Garamond" w:cs="Times New Roman"/>
          <w:color w:val="000000"/>
          <w:sz w:val="24"/>
          <w:szCs w:val="24"/>
          <w:lang w:val="sq-AL"/>
        </w:rPr>
        <w:t xml:space="preserve"> </w:t>
      </w:r>
      <w:r w:rsidRPr="00C67C8A">
        <w:rPr>
          <w:rFonts w:ascii="Garamond" w:hAnsi="Garamond" w:cs="Times New Roman"/>
          <w:color w:val="000000"/>
          <w:sz w:val="24"/>
          <w:szCs w:val="24"/>
          <w:lang w:val="sq-AL"/>
        </w:rPr>
        <w:t>Në vendimin e saj nr. 47 të 7 nëntorit 2011, Gjykata Kushtetuese theksoi që parimi i prezumimit të pafajësisë konsiderohej i shkelur nëse një vendim i gjykatës pasqyronte mendimin që i akuzuari ishte fajtor përpara se të provohej fajësia e tij sipas ligjit. Edhe nëse nuk kishte një deklaratë formale për këtë qëllim, mjaftonte që arsyetimi nënkuptonte se i akuzuari ishte fajtor.</w:t>
      </w:r>
    </w:p>
    <w:p w14:paraId="1FA40EFB" w14:textId="77777777" w:rsidR="00EE56F8" w:rsidRDefault="00EE56F8" w:rsidP="001F4085">
      <w:pPr>
        <w:tabs>
          <w:tab w:val="left" w:pos="360"/>
        </w:tabs>
        <w:autoSpaceDE w:val="0"/>
        <w:autoSpaceDN w:val="0"/>
        <w:adjustRightInd w:val="0"/>
        <w:spacing w:after="0" w:line="240" w:lineRule="auto"/>
        <w:ind w:firstLine="284"/>
        <w:jc w:val="both"/>
        <w:rPr>
          <w:rFonts w:ascii="Garamond" w:hAnsi="Garamond" w:cs="Times New Roman"/>
          <w:caps/>
          <w:color w:val="000000"/>
          <w:sz w:val="24"/>
          <w:szCs w:val="24"/>
          <w:lang w:val="sq-AL"/>
        </w:rPr>
      </w:pPr>
    </w:p>
    <w:p w14:paraId="374A3E59" w14:textId="099E7967" w:rsidR="001F4085" w:rsidRPr="00C67C8A" w:rsidRDefault="001F4085" w:rsidP="001F4085">
      <w:pPr>
        <w:tabs>
          <w:tab w:val="left" w:pos="360"/>
        </w:tabs>
        <w:autoSpaceDE w:val="0"/>
        <w:autoSpaceDN w:val="0"/>
        <w:adjustRightInd w:val="0"/>
        <w:spacing w:after="0" w:line="240" w:lineRule="auto"/>
        <w:ind w:firstLine="284"/>
        <w:jc w:val="both"/>
        <w:rPr>
          <w:rFonts w:ascii="Garamond" w:hAnsi="Garamond" w:cs="Times New Roman"/>
          <w:caps/>
          <w:color w:val="000000"/>
          <w:sz w:val="24"/>
          <w:szCs w:val="24"/>
          <w:lang w:val="sq-AL"/>
        </w:rPr>
      </w:pPr>
      <w:r w:rsidRPr="00C67C8A">
        <w:rPr>
          <w:rFonts w:ascii="Garamond" w:hAnsi="Garamond" w:cs="Times New Roman"/>
          <w:caps/>
          <w:color w:val="000000"/>
          <w:sz w:val="24"/>
          <w:szCs w:val="24"/>
          <w:lang w:val="sq-AL"/>
        </w:rPr>
        <w:t>VLERËSIMI I GJYKATËS</w:t>
      </w:r>
    </w:p>
    <w:p w14:paraId="36469C2C" w14:textId="0A2F05E7" w:rsidR="001F4085" w:rsidRPr="00C67C8A" w:rsidRDefault="001F4085" w:rsidP="001F4085">
      <w:pPr>
        <w:tabs>
          <w:tab w:val="left" w:pos="360"/>
        </w:tabs>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C67C8A">
        <w:rPr>
          <w:rFonts w:ascii="Garamond" w:hAnsi="Garamond" w:cs="Times New Roman"/>
          <w:b/>
          <w:bCs/>
          <w:color w:val="000000"/>
          <w:sz w:val="24"/>
          <w:szCs w:val="24"/>
          <w:lang w:val="sq-AL"/>
        </w:rPr>
        <w:t>A.</w:t>
      </w:r>
      <w:r w:rsidR="00803BA2" w:rsidRPr="00C67C8A">
        <w:rPr>
          <w:rFonts w:ascii="Garamond" w:hAnsi="Garamond" w:cs="Times New Roman"/>
          <w:b/>
          <w:bCs/>
          <w:color w:val="000000"/>
          <w:sz w:val="24"/>
          <w:szCs w:val="24"/>
          <w:lang w:val="sq-AL"/>
        </w:rPr>
        <w:t xml:space="preserve"> </w:t>
      </w:r>
      <w:r w:rsidRPr="00C67C8A">
        <w:rPr>
          <w:rFonts w:ascii="Garamond" w:hAnsi="Garamond" w:cs="Times New Roman"/>
          <w:b/>
          <w:bCs/>
          <w:color w:val="000000"/>
          <w:sz w:val="24"/>
          <w:szCs w:val="24"/>
          <w:lang w:val="sq-AL"/>
        </w:rPr>
        <w:t>Shkelja e pretenduar e nenit 3 të Konventës</w:t>
      </w:r>
    </w:p>
    <w:p w14:paraId="4DE21488" w14:textId="78E02D5C" w:rsidR="001F4085" w:rsidRPr="00C67C8A" w:rsidRDefault="001F4085" w:rsidP="001F408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C67C8A">
        <w:rPr>
          <w:rFonts w:ascii="Garamond" w:hAnsi="Garamond" w:cs="Times New Roman"/>
          <w:color w:val="000000"/>
          <w:sz w:val="24"/>
          <w:szCs w:val="24"/>
          <w:lang w:val="sq-AL"/>
        </w:rPr>
        <w:t>80.</w:t>
      </w:r>
      <w:r w:rsidR="00803BA2" w:rsidRPr="00C67C8A">
        <w:rPr>
          <w:rFonts w:ascii="Garamond" w:hAnsi="Garamond" w:cs="Times New Roman"/>
          <w:color w:val="000000"/>
          <w:sz w:val="24"/>
          <w:szCs w:val="24"/>
          <w:lang w:val="sq-AL"/>
        </w:rPr>
        <w:t xml:space="preserve"> </w:t>
      </w:r>
      <w:r w:rsidRPr="00C67C8A">
        <w:rPr>
          <w:rFonts w:ascii="Garamond" w:hAnsi="Garamond" w:cs="Times New Roman"/>
          <w:color w:val="000000"/>
          <w:sz w:val="24"/>
          <w:szCs w:val="24"/>
          <w:lang w:val="sq-AL"/>
        </w:rPr>
        <w:t>Qeveria pretendoi se kërkuesja e katërt nuk kishte shteruar mjetet e brendshme ligjore sepse ajo duhej të kishte depozituar një padi civile për dëmshpërblim.</w:t>
      </w:r>
    </w:p>
    <w:p w14:paraId="753A895C" w14:textId="48A9FE88" w:rsidR="001F4085" w:rsidRPr="00C67C8A" w:rsidRDefault="001F4085" w:rsidP="001F408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C67C8A">
        <w:rPr>
          <w:rFonts w:ascii="Garamond" w:hAnsi="Garamond" w:cs="Times New Roman"/>
          <w:color w:val="000000"/>
          <w:sz w:val="24"/>
          <w:szCs w:val="24"/>
          <w:lang w:val="sq-AL"/>
        </w:rPr>
        <w:t>81.</w:t>
      </w:r>
      <w:r w:rsidR="00803BA2" w:rsidRPr="00C67C8A">
        <w:rPr>
          <w:rFonts w:ascii="Garamond" w:hAnsi="Garamond" w:cs="Times New Roman"/>
          <w:color w:val="000000"/>
          <w:sz w:val="24"/>
          <w:szCs w:val="24"/>
          <w:lang w:val="sq-AL"/>
        </w:rPr>
        <w:t xml:space="preserve"> </w:t>
      </w:r>
      <w:r w:rsidRPr="00C67C8A">
        <w:rPr>
          <w:rFonts w:ascii="Garamond" w:hAnsi="Garamond" w:cs="Times New Roman"/>
          <w:color w:val="000000"/>
          <w:sz w:val="24"/>
          <w:szCs w:val="24"/>
          <w:lang w:val="sq-AL"/>
        </w:rPr>
        <w:t xml:space="preserve">Gjykata vëren që keqtrajtimi i pretenduar i kërkueses së katërt kishte të bënte me prangosjen e saj gjatë transferimit nga paraburgimi në gjykatë dhe gjatë një seance dhe fotografimin e saj nga përfaqësuesit e media ndërkohë që ishte me pranga në duar. Gjykata konsideron që, edhe nëse supozojmë se trajtimi në fjalë ka arritur në nivelin e rëndesës për zbatimin e nenit 3 (krahasoni </w:t>
      </w:r>
      <w:r w:rsidRPr="00C67C8A">
        <w:rPr>
          <w:rFonts w:ascii="Garamond" w:hAnsi="Garamond" w:cs="Times New Roman"/>
          <w:i/>
          <w:iCs/>
          <w:color w:val="000000"/>
          <w:sz w:val="24"/>
          <w:szCs w:val="24"/>
          <w:lang w:val="sq-AL"/>
        </w:rPr>
        <w:t>çështja Kashavelov kundër Bullgarisë</w:t>
      </w:r>
      <w:r w:rsidRPr="00C67C8A">
        <w:rPr>
          <w:rFonts w:ascii="Garamond" w:hAnsi="Garamond" w:cs="Times New Roman"/>
          <w:color w:val="000000"/>
          <w:sz w:val="24"/>
          <w:szCs w:val="24"/>
          <w:lang w:val="sq-AL"/>
        </w:rPr>
        <w:t xml:space="preserve">, nr. 891/05, 38-40, 20 janar 2011, dhe </w:t>
      </w:r>
      <w:r w:rsidRPr="00C67C8A">
        <w:rPr>
          <w:rFonts w:ascii="Garamond" w:hAnsi="Garamond" w:cs="Times New Roman"/>
          <w:i/>
          <w:iCs/>
          <w:color w:val="000000"/>
          <w:sz w:val="24"/>
          <w:szCs w:val="24"/>
          <w:lang w:val="sq-AL"/>
        </w:rPr>
        <w:t>çështja Pranjić-M-Lukić kundër Bosnjë Hercegovinës</w:t>
      </w:r>
      <w:r w:rsidRPr="00C67C8A">
        <w:rPr>
          <w:rFonts w:ascii="Garamond" w:hAnsi="Garamond" w:cs="Times New Roman"/>
          <w:color w:val="000000"/>
          <w:sz w:val="24"/>
          <w:szCs w:val="24"/>
          <w:lang w:val="sq-AL"/>
        </w:rPr>
        <w:t>, nr. 4938/16, § 72, 2 qershor 2020), nuk mund të konsiderohet që ky trajtim do të kërkonte ndjekjen penale të personave përgjegjës.</w:t>
      </w:r>
      <w:r w:rsidR="00803BA2" w:rsidRPr="00C67C8A">
        <w:rPr>
          <w:rFonts w:ascii="Garamond" w:hAnsi="Garamond" w:cs="Times New Roman"/>
          <w:color w:val="000000"/>
          <w:sz w:val="24"/>
          <w:szCs w:val="24"/>
          <w:lang w:val="sq-AL"/>
        </w:rPr>
        <w:t xml:space="preserve"> </w:t>
      </w:r>
      <w:r w:rsidRPr="00C67C8A">
        <w:rPr>
          <w:rFonts w:ascii="Garamond" w:hAnsi="Garamond" w:cs="Times New Roman"/>
          <w:color w:val="000000"/>
          <w:sz w:val="24"/>
          <w:szCs w:val="24"/>
          <w:lang w:val="sq-AL"/>
        </w:rPr>
        <w:t xml:space="preserve">Sipas Gjykatës, padia civile për dëmshpërblim do të ishte e mjaftueshme në rrethanat e çështjes në fjalë. Megjithatë Gjykata vëren që kërkuesja nuk ka depozituar padi civile për dëmshpërblim dhe/ose një ankim sipas ligjit nr. 8328 (shihni paragrafin 6 më sipër), dhe as nuk e ka çuar situatën në ndonjë formë tjetër në vëmendje të autoriteteve (krahasoni </w:t>
      </w:r>
      <w:r w:rsidRPr="00C67C8A">
        <w:rPr>
          <w:rFonts w:ascii="Garamond" w:hAnsi="Garamond" w:cs="Times New Roman"/>
          <w:i/>
          <w:iCs/>
          <w:color w:val="000000"/>
          <w:sz w:val="24"/>
          <w:szCs w:val="24"/>
          <w:lang w:val="sq-AL"/>
        </w:rPr>
        <w:t>çështja Radkov dhe Sabev kundër Bullgarisë</w:t>
      </w:r>
      <w:r w:rsidRPr="00C67C8A">
        <w:rPr>
          <w:rFonts w:ascii="Garamond" w:hAnsi="Garamond" w:cs="Times New Roman"/>
          <w:color w:val="000000"/>
          <w:sz w:val="24"/>
          <w:szCs w:val="24"/>
          <w:lang w:val="sq-AL"/>
        </w:rPr>
        <w:t xml:space="preserve">, nr. 18938/07 dhe 36069/09, § 38, 27 maj 2014, dhe </w:t>
      </w:r>
      <w:r w:rsidRPr="00C67C8A">
        <w:rPr>
          <w:rFonts w:ascii="Garamond" w:hAnsi="Garamond" w:cs="Times New Roman"/>
          <w:i/>
          <w:iCs/>
          <w:color w:val="000000"/>
          <w:sz w:val="24"/>
          <w:szCs w:val="24"/>
          <w:lang w:val="sq-AL"/>
        </w:rPr>
        <w:t>çështja Costiniu kundër Rumanisë</w:t>
      </w:r>
      <w:r w:rsidRPr="00C67C8A">
        <w:rPr>
          <w:rFonts w:ascii="Garamond" w:hAnsi="Garamond" w:cs="Times New Roman"/>
          <w:color w:val="000000"/>
          <w:sz w:val="24"/>
          <w:szCs w:val="24"/>
          <w:lang w:val="sq-AL"/>
        </w:rPr>
        <w:t xml:space="preserve"> (dec.), nr. 22016/10, § 29, 10 shkurt 2013).</w:t>
      </w:r>
    </w:p>
    <w:p w14:paraId="61B47419" w14:textId="5FC1700E" w:rsidR="001F4085" w:rsidRPr="00C67C8A" w:rsidRDefault="001F4085" w:rsidP="001F408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C67C8A">
        <w:rPr>
          <w:rFonts w:ascii="Garamond" w:hAnsi="Garamond" w:cs="Times New Roman"/>
          <w:color w:val="000000"/>
          <w:sz w:val="24"/>
          <w:szCs w:val="24"/>
          <w:lang w:val="sq-AL"/>
        </w:rPr>
        <w:t>82.</w:t>
      </w:r>
      <w:r w:rsidR="00803BA2" w:rsidRPr="00C67C8A">
        <w:rPr>
          <w:rFonts w:ascii="Garamond" w:hAnsi="Garamond" w:cs="Times New Roman"/>
          <w:color w:val="000000"/>
          <w:sz w:val="24"/>
          <w:szCs w:val="24"/>
          <w:lang w:val="sq-AL"/>
        </w:rPr>
        <w:t xml:space="preserve"> </w:t>
      </w:r>
      <w:r w:rsidRPr="00C67C8A">
        <w:rPr>
          <w:rFonts w:ascii="Garamond" w:hAnsi="Garamond" w:cs="Times New Roman"/>
          <w:color w:val="000000"/>
          <w:sz w:val="24"/>
          <w:szCs w:val="24"/>
          <w:lang w:val="sq-AL"/>
        </w:rPr>
        <w:t>Në këto rrethana, ky ankim duhet të refuzohet sipas nenit</w:t>
      </w:r>
      <w:r w:rsidR="00803BA2" w:rsidRPr="00C67C8A">
        <w:rPr>
          <w:rFonts w:ascii="Garamond" w:hAnsi="Garamond" w:cs="Times New Roman"/>
          <w:color w:val="000000"/>
          <w:sz w:val="24"/>
          <w:szCs w:val="24"/>
          <w:lang w:val="sq-AL"/>
        </w:rPr>
        <w:t xml:space="preserve"> </w:t>
      </w:r>
      <w:r w:rsidRPr="00C67C8A">
        <w:rPr>
          <w:rFonts w:ascii="Garamond" w:hAnsi="Garamond" w:cs="Times New Roman"/>
          <w:color w:val="000000"/>
          <w:sz w:val="24"/>
          <w:szCs w:val="24"/>
          <w:lang w:val="sq-AL"/>
        </w:rPr>
        <w:t>35 §§ 1 dhe 4 të Kushtetutës për mosshterimin e mjeteve të brendshme ligjore.</w:t>
      </w:r>
    </w:p>
    <w:p w14:paraId="62D6CFA7" w14:textId="704D8EC5" w:rsidR="001F4085" w:rsidRPr="00C67C8A" w:rsidRDefault="001F4085" w:rsidP="001F4085">
      <w:pPr>
        <w:keepLines/>
        <w:tabs>
          <w:tab w:val="left" w:pos="360"/>
        </w:tabs>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C67C8A">
        <w:rPr>
          <w:rFonts w:ascii="Garamond" w:hAnsi="Garamond" w:cs="Times New Roman"/>
          <w:b/>
          <w:bCs/>
          <w:color w:val="000000"/>
          <w:sz w:val="24"/>
          <w:szCs w:val="24"/>
          <w:lang w:val="sq-AL"/>
        </w:rPr>
        <w:t>B.</w:t>
      </w:r>
      <w:r w:rsidR="00803BA2" w:rsidRPr="00C67C8A">
        <w:rPr>
          <w:rFonts w:ascii="Garamond" w:hAnsi="Garamond" w:cs="Times New Roman"/>
          <w:b/>
          <w:bCs/>
          <w:color w:val="000000"/>
          <w:sz w:val="24"/>
          <w:szCs w:val="24"/>
          <w:lang w:val="sq-AL"/>
        </w:rPr>
        <w:t xml:space="preserve"> </w:t>
      </w:r>
      <w:r w:rsidRPr="00C67C8A">
        <w:rPr>
          <w:rFonts w:ascii="Garamond" w:hAnsi="Garamond" w:cs="Times New Roman"/>
          <w:b/>
          <w:bCs/>
          <w:color w:val="000000"/>
          <w:sz w:val="24"/>
          <w:szCs w:val="24"/>
          <w:lang w:val="sq-AL"/>
        </w:rPr>
        <w:t>Shkelja e dyshuar e nenit 6 § 2 të Konventës</w:t>
      </w:r>
    </w:p>
    <w:p w14:paraId="65E91B13" w14:textId="361B2FC5" w:rsidR="001F4085" w:rsidRPr="00C67C8A" w:rsidRDefault="001F4085" w:rsidP="001F408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C67C8A">
        <w:rPr>
          <w:rFonts w:ascii="Garamond" w:hAnsi="Garamond" w:cs="Times New Roman"/>
          <w:color w:val="000000"/>
          <w:sz w:val="24"/>
          <w:szCs w:val="24"/>
          <w:lang w:val="sq-AL"/>
        </w:rPr>
        <w:t>83.</w:t>
      </w:r>
      <w:r w:rsidR="00803BA2" w:rsidRPr="00C67C8A">
        <w:rPr>
          <w:rFonts w:ascii="Garamond" w:hAnsi="Garamond" w:cs="Times New Roman"/>
          <w:color w:val="000000"/>
          <w:sz w:val="24"/>
          <w:szCs w:val="24"/>
          <w:lang w:val="sq-AL"/>
        </w:rPr>
        <w:t xml:space="preserve"> </w:t>
      </w:r>
      <w:r w:rsidRPr="00C67C8A">
        <w:rPr>
          <w:rFonts w:ascii="Garamond" w:hAnsi="Garamond" w:cs="Times New Roman"/>
          <w:color w:val="000000"/>
          <w:sz w:val="24"/>
          <w:szCs w:val="24"/>
          <w:lang w:val="sq-AL"/>
        </w:rPr>
        <w:t>Qeveria kundërshtoi që kërkuesit nuk kishin provuar ndonjë mjet ligjor në lidhje me ankimin e tyre sipas nenit 6 paragrafi 2 të Konventës për shkeljen e prezumimit të pafajësisë së tyre nga disa deklarata të Kryeministrit, as në kuadër të procesit penal kundër tyre, as në procese të ndara civile me anë të depozitimit të pretendimit për dëmshpërblim.</w:t>
      </w:r>
    </w:p>
    <w:p w14:paraId="3AC086D6" w14:textId="19F3E7F6" w:rsidR="001F4085" w:rsidRPr="00C67C8A" w:rsidRDefault="001F4085" w:rsidP="001F408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C67C8A">
        <w:rPr>
          <w:rFonts w:ascii="Garamond" w:hAnsi="Garamond" w:cs="Times New Roman"/>
          <w:color w:val="000000"/>
          <w:sz w:val="24"/>
          <w:szCs w:val="24"/>
          <w:lang w:val="sq-AL"/>
        </w:rPr>
        <w:t>84.</w:t>
      </w:r>
      <w:r w:rsidR="00803BA2" w:rsidRPr="00C67C8A">
        <w:rPr>
          <w:rFonts w:ascii="Garamond" w:hAnsi="Garamond" w:cs="Times New Roman"/>
          <w:color w:val="000000"/>
          <w:sz w:val="24"/>
          <w:szCs w:val="24"/>
          <w:lang w:val="sq-AL"/>
        </w:rPr>
        <w:t xml:space="preserve"> </w:t>
      </w:r>
      <w:r w:rsidRPr="00C67C8A">
        <w:rPr>
          <w:rFonts w:ascii="Garamond" w:hAnsi="Garamond" w:cs="Times New Roman"/>
          <w:color w:val="000000"/>
          <w:sz w:val="24"/>
          <w:szCs w:val="24"/>
          <w:lang w:val="sq-AL"/>
        </w:rPr>
        <w:t>Kërkuesit argumentuan që nuk ekzistonin mjete të efektshme ligjore në Shqipëri në lidhje me ankimin e tyre sipas nenit 6</w:t>
      </w:r>
      <w:r w:rsidR="004B6F21">
        <w:rPr>
          <w:rFonts w:ascii="Garamond" w:hAnsi="Garamond" w:cs="Times New Roman"/>
          <w:color w:val="000000"/>
          <w:sz w:val="24"/>
          <w:szCs w:val="24"/>
          <w:lang w:val="sq-AL"/>
        </w:rPr>
        <w:t>,</w:t>
      </w:r>
      <w:r w:rsidRPr="00C67C8A">
        <w:rPr>
          <w:rFonts w:ascii="Garamond" w:hAnsi="Garamond" w:cs="Times New Roman"/>
          <w:color w:val="000000"/>
          <w:sz w:val="24"/>
          <w:szCs w:val="24"/>
          <w:lang w:val="sq-AL"/>
        </w:rPr>
        <w:t xml:space="preserve"> paragrafi 2</w:t>
      </w:r>
      <w:r w:rsidR="004B6F21">
        <w:rPr>
          <w:rFonts w:ascii="Garamond" w:hAnsi="Garamond" w:cs="Times New Roman"/>
          <w:color w:val="000000"/>
          <w:sz w:val="24"/>
          <w:szCs w:val="24"/>
          <w:lang w:val="sq-AL"/>
        </w:rPr>
        <w:t>,</w:t>
      </w:r>
      <w:r w:rsidRPr="00C67C8A">
        <w:rPr>
          <w:rFonts w:ascii="Garamond" w:hAnsi="Garamond" w:cs="Times New Roman"/>
          <w:color w:val="000000"/>
          <w:sz w:val="24"/>
          <w:szCs w:val="24"/>
          <w:lang w:val="sq-AL"/>
        </w:rPr>
        <w:t xml:space="preserve"> të Konventës dhe që asnjë prej mjeteve të treguara nga Qeveria nuk do të kishte ndonjë mundësi suksesi. Ata gjithashtu pretenduan që një mjet ligjor mund të ishte përdorur për të kundërshtuar vendimet, por jo deklaratat e zyrtarëve publikë në media.</w:t>
      </w:r>
    </w:p>
    <w:p w14:paraId="07019EE8" w14:textId="43F03503" w:rsidR="001F4085" w:rsidRPr="00C67C8A" w:rsidRDefault="001F4085" w:rsidP="001F408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C67C8A">
        <w:rPr>
          <w:rFonts w:ascii="Garamond" w:hAnsi="Garamond" w:cs="Times New Roman"/>
          <w:color w:val="000000"/>
          <w:sz w:val="24"/>
          <w:szCs w:val="24"/>
          <w:lang w:val="sq-AL"/>
        </w:rPr>
        <w:t>85.</w:t>
      </w:r>
      <w:r w:rsidR="00803BA2" w:rsidRPr="00C67C8A">
        <w:rPr>
          <w:rFonts w:ascii="Garamond" w:hAnsi="Garamond" w:cs="Times New Roman"/>
          <w:color w:val="000000"/>
          <w:sz w:val="24"/>
          <w:szCs w:val="24"/>
          <w:lang w:val="sq-AL"/>
        </w:rPr>
        <w:t xml:space="preserve"> </w:t>
      </w:r>
      <w:r w:rsidRPr="00C67C8A">
        <w:rPr>
          <w:rFonts w:ascii="Garamond" w:hAnsi="Garamond" w:cs="Times New Roman"/>
          <w:color w:val="000000"/>
          <w:sz w:val="24"/>
          <w:szCs w:val="24"/>
          <w:lang w:val="sq-AL"/>
        </w:rPr>
        <w:t xml:space="preserve">Gjykata rikujton që parimi i prezumimit të pafajësisë mbi të gjitha është garanci procedurale, dhe një nga elementët e një gjykimi të drejtë penal të kërkuar nga neni 6 § 1 (shihni </w:t>
      </w:r>
      <w:r w:rsidRPr="00C67C8A">
        <w:rPr>
          <w:rFonts w:ascii="Garamond" w:hAnsi="Garamond" w:cs="Times New Roman"/>
          <w:i/>
          <w:iCs/>
          <w:color w:val="000000"/>
          <w:sz w:val="24"/>
          <w:szCs w:val="24"/>
          <w:lang w:val="sq-AL"/>
        </w:rPr>
        <w:t>çështja Allenet de Ribemont kundër Francës</w:t>
      </w:r>
      <w:r w:rsidRPr="00C67C8A">
        <w:rPr>
          <w:rFonts w:ascii="Garamond" w:hAnsi="Garamond" w:cs="Times New Roman"/>
          <w:color w:val="000000"/>
          <w:sz w:val="24"/>
          <w:szCs w:val="24"/>
          <w:lang w:val="sq-AL"/>
        </w:rPr>
        <w:t xml:space="preserve">, 10 shkurt 1995, § 35, </w:t>
      </w:r>
      <w:r w:rsidR="00693A91">
        <w:rPr>
          <w:rFonts w:ascii="Garamond" w:hAnsi="Garamond" w:cs="Times New Roman"/>
          <w:color w:val="000000"/>
          <w:sz w:val="24"/>
          <w:szCs w:val="24"/>
          <w:lang w:val="sq-AL"/>
        </w:rPr>
        <w:t>s</w:t>
      </w:r>
      <w:r w:rsidRPr="00C67C8A">
        <w:rPr>
          <w:rFonts w:ascii="Garamond" w:hAnsi="Garamond" w:cs="Times New Roman"/>
          <w:color w:val="000000"/>
          <w:sz w:val="24"/>
          <w:szCs w:val="24"/>
          <w:lang w:val="sq-AL"/>
        </w:rPr>
        <w:t xml:space="preserve">eria A nr. 308; </w:t>
      </w:r>
      <w:r w:rsidRPr="00C67C8A">
        <w:rPr>
          <w:rFonts w:ascii="Garamond" w:hAnsi="Garamond" w:cs="Times New Roman"/>
          <w:i/>
          <w:iCs/>
          <w:color w:val="000000"/>
          <w:sz w:val="24"/>
          <w:szCs w:val="24"/>
          <w:lang w:val="sq-AL"/>
        </w:rPr>
        <w:t>çështja Konstas kundër Greqisë</w:t>
      </w:r>
      <w:r w:rsidRPr="00C67C8A">
        <w:rPr>
          <w:rFonts w:ascii="Garamond" w:hAnsi="Garamond" w:cs="Times New Roman"/>
          <w:color w:val="000000"/>
          <w:sz w:val="24"/>
          <w:szCs w:val="24"/>
          <w:lang w:val="sq-AL"/>
        </w:rPr>
        <w:t xml:space="preserve">, nr. 53466/07, § 29, 24 maj 2011; dhe </w:t>
      </w:r>
      <w:r w:rsidRPr="00C67C8A">
        <w:rPr>
          <w:rFonts w:ascii="Garamond" w:hAnsi="Garamond" w:cs="Times New Roman"/>
          <w:i/>
          <w:iCs/>
          <w:color w:val="000000"/>
          <w:sz w:val="24"/>
          <w:szCs w:val="24"/>
          <w:lang w:val="sq-AL"/>
        </w:rPr>
        <w:t>çështja Mamaladze kundër Gjeorgjisë</w:t>
      </w:r>
      <w:r w:rsidRPr="00C67C8A">
        <w:rPr>
          <w:rFonts w:ascii="Garamond" w:hAnsi="Garamond" w:cs="Times New Roman"/>
          <w:color w:val="000000"/>
          <w:sz w:val="24"/>
          <w:szCs w:val="24"/>
          <w:lang w:val="sq-AL"/>
        </w:rPr>
        <w:t>, nr. 9487/19, § 63-65, 3 nëntor 2022).</w:t>
      </w:r>
    </w:p>
    <w:p w14:paraId="6439D19E" w14:textId="539107F0" w:rsidR="001F4085" w:rsidRPr="00C67C8A" w:rsidRDefault="001F4085" w:rsidP="001F408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C67C8A">
        <w:rPr>
          <w:rFonts w:ascii="Garamond" w:hAnsi="Garamond" w:cs="Times New Roman"/>
          <w:color w:val="000000"/>
          <w:sz w:val="24"/>
          <w:szCs w:val="24"/>
          <w:lang w:val="sq-AL"/>
        </w:rPr>
        <w:t>86.</w:t>
      </w:r>
      <w:r w:rsidR="00803BA2" w:rsidRPr="00C67C8A">
        <w:rPr>
          <w:rFonts w:ascii="Garamond" w:hAnsi="Garamond" w:cs="Times New Roman"/>
          <w:color w:val="000000"/>
          <w:sz w:val="24"/>
          <w:szCs w:val="24"/>
          <w:lang w:val="sq-AL"/>
        </w:rPr>
        <w:t xml:space="preserve"> </w:t>
      </w:r>
      <w:r w:rsidRPr="00C67C8A">
        <w:rPr>
          <w:rFonts w:ascii="Garamond" w:hAnsi="Garamond" w:cs="Times New Roman"/>
          <w:color w:val="000000"/>
          <w:sz w:val="24"/>
          <w:szCs w:val="24"/>
          <w:lang w:val="sq-AL"/>
        </w:rPr>
        <w:t>Më tej</w:t>
      </w:r>
      <w:r w:rsidR="00611626">
        <w:rPr>
          <w:rFonts w:ascii="Garamond" w:hAnsi="Garamond" w:cs="Times New Roman"/>
          <w:color w:val="000000"/>
          <w:sz w:val="24"/>
          <w:szCs w:val="24"/>
          <w:lang w:val="sq-AL"/>
        </w:rPr>
        <w:t>,</w:t>
      </w:r>
      <w:r w:rsidRPr="00C67C8A">
        <w:rPr>
          <w:rFonts w:ascii="Garamond" w:hAnsi="Garamond" w:cs="Times New Roman"/>
          <w:color w:val="000000"/>
          <w:sz w:val="24"/>
          <w:szCs w:val="24"/>
          <w:lang w:val="sq-AL"/>
        </w:rPr>
        <w:t xml:space="preserve"> Gjykata vëren që Konventa është drejtpërdrejt e zbatueshme në Shqipëria, e drejta e prezumimit të pafajësisë garantohet edhe në Kodin Penal edhe në Kushtetutën e Shqipërisë dhe që praktika e Gjykatës Kushtetuese tregon që e ka trajtuar këtë temë si një aspekt të një gjykimi të drejtë (shihni paragrafët 6 dhe 7 më sipër). Proceset penale kundër kërkuesve janë akoma në pritje. Ata mund të ngrenë çështjen e përputhshmërisë së deklaratave të kontestuara të Kryeministrit me të drejtën e tyre për t’u prezumuar të pafajshëm në kuadër të procesit penal kundër tyre dhe, sipas rastit, përpara Gjykatës Kushtetuese. Gjykata është shprehur tashmë që ankimi kushtetues në parim është një mjet ligjor i efektshëm dhe prandaj kërkohet për qëllime shteruese në lidhje me të drejtën e një kërkuesi për </w:t>
      </w:r>
      <w:r w:rsidRPr="00C67C8A">
        <w:rPr>
          <w:rFonts w:ascii="Garamond" w:hAnsi="Garamond" w:cs="Times New Roman"/>
          <w:color w:val="000000"/>
          <w:sz w:val="24"/>
          <w:szCs w:val="24"/>
          <w:lang w:val="sq-AL"/>
        </w:rPr>
        <w:lastRenderedPageBreak/>
        <w:t xml:space="preserve">gjykim të drejtë sipas nenit 6 të Konventës (shihni, </w:t>
      </w:r>
      <w:r w:rsidRPr="00C67C8A">
        <w:rPr>
          <w:rFonts w:ascii="Garamond" w:hAnsi="Garamond" w:cs="Times New Roman"/>
          <w:i/>
          <w:iCs/>
          <w:color w:val="000000"/>
          <w:sz w:val="24"/>
          <w:szCs w:val="24"/>
          <w:lang w:val="sq-AL"/>
        </w:rPr>
        <w:t>mutatis mutandis</w:t>
      </w:r>
      <w:r w:rsidRPr="00C67C8A">
        <w:rPr>
          <w:rFonts w:ascii="Garamond" w:hAnsi="Garamond" w:cs="Times New Roman"/>
          <w:color w:val="000000"/>
          <w:sz w:val="24"/>
          <w:szCs w:val="24"/>
          <w:lang w:val="sq-AL"/>
        </w:rPr>
        <w:t xml:space="preserve">, </w:t>
      </w:r>
      <w:r w:rsidRPr="00C67C8A">
        <w:rPr>
          <w:rFonts w:ascii="Garamond" w:hAnsi="Garamond" w:cs="Times New Roman"/>
          <w:i/>
          <w:iCs/>
          <w:color w:val="000000"/>
          <w:sz w:val="24"/>
          <w:szCs w:val="24"/>
          <w:lang w:val="sq-AL"/>
        </w:rPr>
        <w:t>çështja Balliu kundër Shqipërisë</w:t>
      </w:r>
      <w:r w:rsidRPr="00C67C8A">
        <w:rPr>
          <w:rFonts w:ascii="Garamond" w:hAnsi="Garamond" w:cs="Times New Roman"/>
          <w:color w:val="000000"/>
          <w:sz w:val="24"/>
          <w:szCs w:val="24"/>
          <w:lang w:val="sq-AL"/>
        </w:rPr>
        <w:t xml:space="preserve"> (dec.), nr. 74727/01, 30 shtator 2004; </w:t>
      </w:r>
      <w:r w:rsidRPr="00C67C8A">
        <w:rPr>
          <w:rFonts w:ascii="Garamond" w:hAnsi="Garamond" w:cs="Times New Roman"/>
          <w:i/>
          <w:iCs/>
          <w:color w:val="000000"/>
          <w:sz w:val="24"/>
          <w:szCs w:val="24"/>
          <w:lang w:val="sq-AL"/>
        </w:rPr>
        <w:t xml:space="preserve">çështja Beshiri dhe të </w:t>
      </w:r>
      <w:r w:rsidR="00524D49">
        <w:rPr>
          <w:rFonts w:ascii="Garamond" w:hAnsi="Garamond" w:cs="Times New Roman"/>
          <w:i/>
          <w:iCs/>
          <w:color w:val="000000"/>
          <w:sz w:val="24"/>
          <w:szCs w:val="24"/>
          <w:lang w:val="sq-AL"/>
        </w:rPr>
        <w:t>t</w:t>
      </w:r>
      <w:r w:rsidRPr="00C67C8A">
        <w:rPr>
          <w:rFonts w:ascii="Garamond" w:hAnsi="Garamond" w:cs="Times New Roman"/>
          <w:i/>
          <w:iCs/>
          <w:color w:val="000000"/>
          <w:sz w:val="24"/>
          <w:szCs w:val="24"/>
          <w:lang w:val="sq-AL"/>
        </w:rPr>
        <w:t>jerët kundër Shqipërisë</w:t>
      </w:r>
      <w:r w:rsidRPr="00C67C8A">
        <w:rPr>
          <w:rFonts w:ascii="Garamond" w:hAnsi="Garamond" w:cs="Times New Roman"/>
          <w:color w:val="000000"/>
          <w:sz w:val="24"/>
          <w:szCs w:val="24"/>
          <w:lang w:val="sq-AL"/>
        </w:rPr>
        <w:t xml:space="preserve">, nr. 7352/03, §§ 30-34, 22 gusht 2006; </w:t>
      </w:r>
      <w:r w:rsidRPr="00C67C8A">
        <w:rPr>
          <w:rFonts w:ascii="Garamond" w:hAnsi="Garamond" w:cs="Times New Roman"/>
          <w:i/>
          <w:iCs/>
          <w:color w:val="000000"/>
          <w:sz w:val="24"/>
          <w:szCs w:val="24"/>
          <w:lang w:val="sq-AL"/>
        </w:rPr>
        <w:t>çështja Jakupi kundër Shqipërisë</w:t>
      </w:r>
      <w:r w:rsidRPr="00C67C8A">
        <w:rPr>
          <w:rFonts w:ascii="Garamond" w:hAnsi="Garamond" w:cs="Times New Roman"/>
          <w:color w:val="000000"/>
          <w:sz w:val="24"/>
          <w:szCs w:val="24"/>
          <w:lang w:val="sq-AL"/>
        </w:rPr>
        <w:t xml:space="preserve"> (dec.), nr. 11186/03, 1 dhjetor 2009; dhe për një konkluzion të ngjashëm, </w:t>
      </w:r>
      <w:r w:rsidRPr="00C67C8A">
        <w:rPr>
          <w:rFonts w:ascii="Garamond" w:hAnsi="Garamond" w:cs="Times New Roman"/>
          <w:i/>
          <w:iCs/>
          <w:color w:val="000000"/>
          <w:sz w:val="24"/>
          <w:szCs w:val="24"/>
          <w:lang w:val="sq-AL"/>
        </w:rPr>
        <w:t>çështja Muçaj kundër Shqipërisë</w:t>
      </w:r>
      <w:r w:rsidRPr="00C67C8A">
        <w:rPr>
          <w:rFonts w:ascii="Garamond" w:hAnsi="Garamond" w:cs="Times New Roman"/>
          <w:color w:val="000000"/>
          <w:sz w:val="24"/>
          <w:szCs w:val="24"/>
          <w:lang w:val="sq-AL"/>
        </w:rPr>
        <w:t xml:space="preserve"> [Komiteti], nr. 37814/10, § 26, 11 korrik 2023). Asnjë parashikim në legjislacionin e brendshëm nuk sugjeron që deklaratat e zyrtarëve publikë dhe që ndikimi i tyre i pretenduar mbi të drejtën e të pandehurit për prezumimin e pafajësisë nuk mund të jetë objekt rishikimi nga gjykatat penale, ose, sipas rastit në përfundim, nga Gjykata Kushtetuese (krahasoni </w:t>
      </w:r>
      <w:r w:rsidRPr="00C67C8A">
        <w:rPr>
          <w:rFonts w:ascii="Garamond" w:hAnsi="Garamond" w:cs="Times New Roman"/>
          <w:i/>
          <w:iCs/>
          <w:color w:val="000000"/>
          <w:sz w:val="24"/>
          <w:szCs w:val="24"/>
          <w:lang w:val="sq-AL"/>
        </w:rPr>
        <w:t>çështja Ringwald kundër Kroacisë</w:t>
      </w:r>
      <w:r w:rsidRPr="00C67C8A">
        <w:rPr>
          <w:rFonts w:ascii="Garamond" w:hAnsi="Garamond" w:cs="Times New Roman"/>
          <w:color w:val="000000"/>
          <w:sz w:val="24"/>
          <w:szCs w:val="24"/>
          <w:lang w:val="sq-AL"/>
        </w:rPr>
        <w:t xml:space="preserve"> (dec.) [Cte], nr. 14590/15 dhe 25405/15, § 52, 22 janar 2019). Gjithashtu, praktika e Gjykatës Kushtetuese në veçanti përmban mundësinë e rishikimit të situatave faktike që mund të ndikojnë te të drejtat kushtetuese, siç janë pretendimet për kohëzgjatje të procesit penal (shihni </w:t>
      </w:r>
      <w:r w:rsidRPr="00C67C8A">
        <w:rPr>
          <w:rFonts w:ascii="Garamond" w:hAnsi="Garamond" w:cs="Times New Roman"/>
          <w:i/>
          <w:iCs/>
          <w:color w:val="000000"/>
          <w:sz w:val="24"/>
          <w:szCs w:val="24"/>
          <w:lang w:val="sq-AL"/>
        </w:rPr>
        <w:t>çështja Bara dhe Kola kundër Shqipërisë</w:t>
      </w:r>
      <w:r w:rsidRPr="00C67C8A">
        <w:rPr>
          <w:rFonts w:ascii="Garamond" w:hAnsi="Garamond" w:cs="Times New Roman"/>
          <w:color w:val="000000"/>
          <w:sz w:val="24"/>
          <w:szCs w:val="24"/>
          <w:lang w:val="sq-AL"/>
        </w:rPr>
        <w:t>, nr. 43391/18 dhe 17766/19, § 35, 12 tetor 2021).</w:t>
      </w:r>
    </w:p>
    <w:p w14:paraId="192B821A" w14:textId="67CF907E" w:rsidR="001F4085" w:rsidRPr="00C67C8A" w:rsidRDefault="001F4085" w:rsidP="001F408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C67C8A">
        <w:rPr>
          <w:rFonts w:ascii="Garamond" w:hAnsi="Garamond" w:cs="Times New Roman"/>
          <w:color w:val="000000"/>
          <w:sz w:val="24"/>
          <w:szCs w:val="24"/>
          <w:lang w:val="sq-AL"/>
        </w:rPr>
        <w:t>87.</w:t>
      </w:r>
      <w:r w:rsidR="00803BA2" w:rsidRPr="00C67C8A">
        <w:rPr>
          <w:rFonts w:ascii="Garamond" w:hAnsi="Garamond" w:cs="Times New Roman"/>
          <w:color w:val="000000"/>
          <w:sz w:val="24"/>
          <w:szCs w:val="24"/>
          <w:lang w:val="sq-AL"/>
        </w:rPr>
        <w:t xml:space="preserve"> </w:t>
      </w:r>
      <w:r w:rsidRPr="00C67C8A">
        <w:rPr>
          <w:rFonts w:ascii="Garamond" w:hAnsi="Garamond" w:cs="Times New Roman"/>
          <w:color w:val="000000"/>
          <w:sz w:val="24"/>
          <w:szCs w:val="24"/>
          <w:lang w:val="sq-AL"/>
        </w:rPr>
        <w:t xml:space="preserve">Megjithatë, kërkuesit nuk kanë paraqitur ankimin e tyre sipas nenit 6 paragrafi 2 të Konventës brenda kuadrit të procesit penal kundër tyre dhe as nuk kanë depozituar një ankim kushtetues në këtë drejtim. Në lidhje me pretendimin e kërkuesve që asnjë nga mjetet ligjore të mësipërme nuk do të kishte mundësi suksesi, Gjykata përsërit se thjesht dyshimet e kërkuesve në lidhje me mundësinë e suksesit dhe efektshmërinë e mjeteve të brendshme ligjore në dispozicion, të pambështetura me prova bindëse, nuk janë arsye e pranueshme për mospërdorimin e këtyre mjeteve ligjore (shihni </w:t>
      </w:r>
      <w:r w:rsidRPr="00C67C8A">
        <w:rPr>
          <w:rFonts w:ascii="Garamond" w:hAnsi="Garamond" w:cs="Times New Roman"/>
          <w:i/>
          <w:iCs/>
          <w:color w:val="000000"/>
          <w:sz w:val="24"/>
          <w:szCs w:val="24"/>
          <w:lang w:val="sq-AL"/>
        </w:rPr>
        <w:t>çështja Kunqurova kundër Azerbaixhanit</w:t>
      </w:r>
      <w:r w:rsidRPr="00C67C8A">
        <w:rPr>
          <w:rFonts w:ascii="Garamond" w:hAnsi="Garamond" w:cs="Times New Roman"/>
          <w:color w:val="000000"/>
          <w:sz w:val="24"/>
          <w:szCs w:val="24"/>
          <w:lang w:val="sq-AL"/>
        </w:rPr>
        <w:t xml:space="preserve"> (dec.), nr. 5117/03, 23 qershor 2005; </w:t>
      </w:r>
      <w:r w:rsidRPr="00C67C8A">
        <w:rPr>
          <w:rFonts w:ascii="Garamond" w:hAnsi="Garamond" w:cs="Times New Roman"/>
          <w:i/>
          <w:iCs/>
          <w:color w:val="000000"/>
          <w:sz w:val="24"/>
          <w:szCs w:val="24"/>
          <w:lang w:val="sq-AL"/>
        </w:rPr>
        <w:t>çështja Guliyev dhe Ramazanov kundër</w:t>
      </w:r>
      <w:r w:rsidR="00803BA2" w:rsidRPr="00C67C8A">
        <w:rPr>
          <w:rFonts w:ascii="Garamond" w:hAnsi="Garamond" w:cs="Times New Roman"/>
          <w:i/>
          <w:iCs/>
          <w:color w:val="000000"/>
          <w:sz w:val="24"/>
          <w:szCs w:val="24"/>
          <w:lang w:val="sq-AL"/>
        </w:rPr>
        <w:t xml:space="preserve"> </w:t>
      </w:r>
      <w:r w:rsidRPr="00C67C8A">
        <w:rPr>
          <w:rFonts w:ascii="Garamond" w:hAnsi="Garamond" w:cs="Times New Roman"/>
          <w:i/>
          <w:iCs/>
          <w:color w:val="000000"/>
          <w:sz w:val="24"/>
          <w:szCs w:val="24"/>
          <w:lang w:val="sq-AL"/>
        </w:rPr>
        <w:t>Azerbaixhanit</w:t>
      </w:r>
      <w:r w:rsidRPr="00C67C8A">
        <w:rPr>
          <w:rFonts w:ascii="Garamond" w:hAnsi="Garamond" w:cs="Times New Roman"/>
          <w:color w:val="000000"/>
          <w:sz w:val="24"/>
          <w:szCs w:val="24"/>
          <w:lang w:val="sq-AL"/>
        </w:rPr>
        <w:t xml:space="preserve"> (dec.), nr. 34553/02, 14 shkurt 2006; dhe </w:t>
      </w:r>
      <w:r w:rsidRPr="00C67C8A">
        <w:rPr>
          <w:rFonts w:ascii="Garamond" w:hAnsi="Garamond" w:cs="Times New Roman"/>
          <w:i/>
          <w:iCs/>
          <w:color w:val="000000"/>
          <w:sz w:val="24"/>
          <w:szCs w:val="24"/>
          <w:lang w:val="sq-AL"/>
        </w:rPr>
        <w:t>çështja Costiniu</w:t>
      </w:r>
      <w:r w:rsidRPr="00C67C8A">
        <w:rPr>
          <w:rFonts w:ascii="Garamond" w:hAnsi="Garamond" w:cs="Times New Roman"/>
          <w:color w:val="000000"/>
          <w:sz w:val="24"/>
          <w:szCs w:val="24"/>
          <w:lang w:val="sq-AL"/>
        </w:rPr>
        <w:t>, të cituar më sipër, § 28).</w:t>
      </w:r>
    </w:p>
    <w:p w14:paraId="352AE1E8" w14:textId="5F3603D9" w:rsidR="001F4085" w:rsidRPr="00C67C8A" w:rsidRDefault="001F4085" w:rsidP="001F408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C67C8A">
        <w:rPr>
          <w:rFonts w:ascii="Garamond" w:hAnsi="Garamond" w:cs="Times New Roman"/>
          <w:color w:val="000000"/>
          <w:sz w:val="24"/>
          <w:szCs w:val="24"/>
          <w:lang w:val="sq-AL"/>
        </w:rPr>
        <w:t>88.</w:t>
      </w:r>
      <w:r w:rsidR="00803BA2" w:rsidRPr="00C67C8A">
        <w:rPr>
          <w:rFonts w:ascii="Garamond" w:hAnsi="Garamond" w:cs="Times New Roman"/>
          <w:color w:val="000000"/>
          <w:sz w:val="24"/>
          <w:szCs w:val="24"/>
          <w:lang w:val="sq-AL"/>
        </w:rPr>
        <w:t xml:space="preserve"> </w:t>
      </w:r>
      <w:r w:rsidRPr="00C67C8A">
        <w:rPr>
          <w:rFonts w:ascii="Garamond" w:hAnsi="Garamond" w:cs="Times New Roman"/>
          <w:color w:val="000000"/>
          <w:sz w:val="24"/>
          <w:szCs w:val="24"/>
          <w:lang w:val="sq-AL"/>
        </w:rPr>
        <w:t xml:space="preserve">Për rrjedhojë, ky ankim është i parakohshëm dhe në këto rrethana duhet të refuzohet sipas nenit 35 §§ 1 dhe 4 të Konventës për mosshterimin e mjeteve të brendshme ligjore. </w:t>
      </w:r>
    </w:p>
    <w:p w14:paraId="49295F8A" w14:textId="77777777" w:rsidR="001F4085" w:rsidRPr="00C67C8A" w:rsidRDefault="001F4085" w:rsidP="001F408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C67C8A">
        <w:rPr>
          <w:rFonts w:ascii="Garamond" w:hAnsi="Garamond" w:cs="Times New Roman"/>
          <w:color w:val="000000"/>
          <w:sz w:val="24"/>
          <w:szCs w:val="24"/>
          <w:lang w:val="sq-AL"/>
        </w:rPr>
        <w:t>Për këto arsye, Gjykata, unanimisht,</w:t>
      </w:r>
    </w:p>
    <w:p w14:paraId="53431E4D" w14:textId="77777777" w:rsidR="001F4085" w:rsidRPr="00C67C8A" w:rsidRDefault="001F4085" w:rsidP="001F4085">
      <w:pPr>
        <w:keepLines/>
        <w:autoSpaceDE w:val="0"/>
        <w:autoSpaceDN w:val="0"/>
        <w:adjustRightInd w:val="0"/>
        <w:spacing w:after="0" w:line="240" w:lineRule="auto"/>
        <w:ind w:firstLine="284"/>
        <w:jc w:val="both"/>
        <w:rPr>
          <w:rFonts w:ascii="Garamond" w:hAnsi="Garamond" w:cs="Times New Roman"/>
          <w:color w:val="000000"/>
          <w:sz w:val="24"/>
          <w:szCs w:val="24"/>
          <w:lang w:val="sq-AL"/>
        </w:rPr>
      </w:pPr>
      <w:r w:rsidRPr="00C67C8A">
        <w:rPr>
          <w:rFonts w:ascii="Garamond" w:hAnsi="Garamond" w:cs="Times New Roman"/>
          <w:i/>
          <w:iCs/>
          <w:color w:val="000000"/>
          <w:sz w:val="24"/>
          <w:szCs w:val="24"/>
          <w:lang w:val="sq-AL"/>
        </w:rPr>
        <w:t>Shpall</w:t>
      </w:r>
      <w:r w:rsidRPr="00C67C8A">
        <w:rPr>
          <w:rFonts w:ascii="Garamond" w:hAnsi="Garamond" w:cs="Times New Roman"/>
          <w:color w:val="000000"/>
          <w:sz w:val="24"/>
          <w:szCs w:val="24"/>
          <w:lang w:val="sq-AL"/>
        </w:rPr>
        <w:t xml:space="preserve"> kërkesën të papranueshme.</w:t>
      </w:r>
    </w:p>
    <w:p w14:paraId="50EE62C3" w14:textId="5BDB638B" w:rsidR="001F4085" w:rsidRPr="00C67C8A" w:rsidRDefault="001F4085" w:rsidP="001F408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C67C8A">
        <w:rPr>
          <w:rFonts w:ascii="Garamond" w:hAnsi="Garamond" w:cs="Times New Roman"/>
          <w:color w:val="000000"/>
          <w:sz w:val="24"/>
          <w:szCs w:val="24"/>
          <w:lang w:val="sq-AL"/>
        </w:rPr>
        <w:t>Bërë në gjuhën angleze dhe njoftuar me shkrim</w:t>
      </w:r>
      <w:r w:rsidR="008B60DA">
        <w:rPr>
          <w:rFonts w:ascii="Garamond" w:hAnsi="Garamond" w:cs="Times New Roman"/>
          <w:color w:val="000000"/>
          <w:sz w:val="24"/>
          <w:szCs w:val="24"/>
          <w:lang w:val="sq-AL"/>
        </w:rPr>
        <w:t>,</w:t>
      </w:r>
      <w:r w:rsidRPr="00C67C8A">
        <w:rPr>
          <w:rFonts w:ascii="Garamond" w:hAnsi="Garamond" w:cs="Times New Roman"/>
          <w:color w:val="000000"/>
          <w:sz w:val="24"/>
          <w:szCs w:val="24"/>
          <w:lang w:val="sq-AL"/>
        </w:rPr>
        <w:t xml:space="preserve"> më 19 tetor 2023.</w:t>
      </w:r>
    </w:p>
    <w:p w14:paraId="5F0CA9CA" w14:textId="77777777" w:rsidR="00803BA2" w:rsidRPr="00C67C8A" w:rsidRDefault="00803BA2" w:rsidP="001F4085">
      <w:pPr>
        <w:tabs>
          <w:tab w:val="center" w:pos="1400"/>
          <w:tab w:val="center" w:pos="5940"/>
        </w:tabs>
        <w:autoSpaceDE w:val="0"/>
        <w:autoSpaceDN w:val="0"/>
        <w:adjustRightInd w:val="0"/>
        <w:spacing w:after="0" w:line="240" w:lineRule="auto"/>
        <w:ind w:firstLine="284"/>
        <w:jc w:val="both"/>
        <w:rPr>
          <w:rFonts w:ascii="Garamond" w:hAnsi="Garamond" w:cs="Times New Roman"/>
          <w:color w:val="FFFFFF"/>
          <w:sz w:val="24"/>
          <w:szCs w:val="24"/>
          <w:lang w:val="sq-AL"/>
        </w:rPr>
      </w:pPr>
      <w:r w:rsidRPr="00C67C8A">
        <w:rPr>
          <w:rFonts w:ascii="Garamond" w:hAnsi="Garamond" w:cs="Times New Roman"/>
          <w:color w:val="FFFFFF"/>
          <w:sz w:val="24"/>
          <w:szCs w:val="24"/>
          <w:lang w:val="sq-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976"/>
      </w:tblGrid>
      <w:tr w:rsidR="00803BA2" w:rsidRPr="00C67C8A" w14:paraId="5557C845" w14:textId="77777777" w:rsidTr="00803BA2">
        <w:tc>
          <w:tcPr>
            <w:tcW w:w="2122" w:type="dxa"/>
          </w:tcPr>
          <w:p w14:paraId="1B7F3224" w14:textId="5EAFB092" w:rsidR="00803BA2" w:rsidRPr="00C67C8A" w:rsidRDefault="00803BA2" w:rsidP="00803BA2">
            <w:pPr>
              <w:tabs>
                <w:tab w:val="center" w:pos="1400"/>
                <w:tab w:val="center" w:pos="5940"/>
              </w:tabs>
              <w:autoSpaceDE w:val="0"/>
              <w:autoSpaceDN w:val="0"/>
              <w:adjustRightInd w:val="0"/>
              <w:jc w:val="center"/>
              <w:rPr>
                <w:rFonts w:ascii="Garamond" w:hAnsi="Garamond" w:cs="Times New Roman"/>
                <w:b/>
                <w:color w:val="000000"/>
                <w:sz w:val="24"/>
                <w:szCs w:val="24"/>
                <w:lang w:val="sq-AL"/>
              </w:rPr>
            </w:pPr>
            <w:r w:rsidRPr="00C67C8A">
              <w:rPr>
                <w:rFonts w:ascii="Garamond" w:hAnsi="Garamond" w:cs="Times New Roman"/>
                <w:b/>
                <w:color w:val="000000"/>
                <w:sz w:val="24"/>
                <w:szCs w:val="24"/>
                <w:lang w:val="sq-AL"/>
              </w:rPr>
              <w:t>Olga Chernishova</w:t>
            </w:r>
          </w:p>
          <w:p w14:paraId="1C17B982" w14:textId="6B016C02" w:rsidR="00803BA2" w:rsidRPr="00C67C8A" w:rsidRDefault="00524D49" w:rsidP="00803BA2">
            <w:pPr>
              <w:tabs>
                <w:tab w:val="center" w:pos="1400"/>
                <w:tab w:val="center" w:pos="5940"/>
              </w:tabs>
              <w:autoSpaceDE w:val="0"/>
              <w:autoSpaceDN w:val="0"/>
              <w:adjustRightInd w:val="0"/>
              <w:jc w:val="center"/>
              <w:rPr>
                <w:rFonts w:ascii="Garamond" w:hAnsi="Garamond" w:cs="Times New Roman"/>
                <w:color w:val="FFFFFF"/>
                <w:sz w:val="24"/>
                <w:szCs w:val="24"/>
                <w:lang w:val="sq-AL"/>
              </w:rPr>
            </w:pPr>
            <w:r w:rsidRPr="00C67C8A">
              <w:rPr>
                <w:rFonts w:ascii="Garamond" w:hAnsi="Garamond" w:cs="Times New Roman"/>
                <w:color w:val="000000"/>
                <w:sz w:val="24"/>
                <w:szCs w:val="24"/>
                <w:lang w:val="sq-AL"/>
              </w:rPr>
              <w:t>Zëvendëskancelare</w:t>
            </w:r>
          </w:p>
        </w:tc>
        <w:tc>
          <w:tcPr>
            <w:tcW w:w="2976" w:type="dxa"/>
          </w:tcPr>
          <w:p w14:paraId="6A5B9456" w14:textId="1515BCDD" w:rsidR="00803BA2" w:rsidRPr="00C67C8A" w:rsidRDefault="00803BA2" w:rsidP="00803BA2">
            <w:pPr>
              <w:tabs>
                <w:tab w:val="center" w:pos="1400"/>
                <w:tab w:val="center" w:pos="5940"/>
              </w:tabs>
              <w:autoSpaceDE w:val="0"/>
              <w:autoSpaceDN w:val="0"/>
              <w:adjustRightInd w:val="0"/>
              <w:jc w:val="center"/>
              <w:rPr>
                <w:rFonts w:ascii="Garamond" w:hAnsi="Garamond" w:cs="Times New Roman"/>
                <w:b/>
                <w:color w:val="000000"/>
                <w:sz w:val="24"/>
                <w:szCs w:val="24"/>
                <w:lang w:val="sq-AL"/>
              </w:rPr>
            </w:pPr>
            <w:r w:rsidRPr="00C67C8A">
              <w:rPr>
                <w:rFonts w:ascii="Garamond" w:hAnsi="Garamond" w:cs="Times New Roman"/>
                <w:b/>
                <w:color w:val="000000"/>
                <w:sz w:val="24"/>
                <w:szCs w:val="24"/>
                <w:lang w:val="sq-AL"/>
              </w:rPr>
              <w:t>Georgios A. Serghides</w:t>
            </w:r>
          </w:p>
          <w:p w14:paraId="69C3C0DB" w14:textId="1283EE59" w:rsidR="00803BA2" w:rsidRPr="00C67C8A" w:rsidRDefault="00803BA2" w:rsidP="00803BA2">
            <w:pPr>
              <w:tabs>
                <w:tab w:val="center" w:pos="1400"/>
                <w:tab w:val="center" w:pos="5940"/>
              </w:tabs>
              <w:autoSpaceDE w:val="0"/>
              <w:autoSpaceDN w:val="0"/>
              <w:adjustRightInd w:val="0"/>
              <w:ind w:firstLine="284"/>
              <w:jc w:val="center"/>
              <w:rPr>
                <w:rFonts w:ascii="Garamond" w:hAnsi="Garamond" w:cs="Times New Roman"/>
                <w:color w:val="000000"/>
                <w:sz w:val="24"/>
                <w:szCs w:val="24"/>
                <w:lang w:val="sq-AL"/>
              </w:rPr>
            </w:pPr>
            <w:r w:rsidRPr="00C67C8A">
              <w:rPr>
                <w:rFonts w:ascii="Garamond" w:hAnsi="Garamond" w:cs="Times New Roman"/>
                <w:color w:val="000000"/>
                <w:sz w:val="24"/>
                <w:szCs w:val="24"/>
                <w:lang w:val="sq-AL"/>
              </w:rPr>
              <w:t>President</w:t>
            </w:r>
          </w:p>
          <w:p w14:paraId="5534601B" w14:textId="0B066F45" w:rsidR="00803BA2" w:rsidRPr="00C67C8A" w:rsidRDefault="00803BA2" w:rsidP="00803BA2">
            <w:pPr>
              <w:tabs>
                <w:tab w:val="center" w:pos="1400"/>
                <w:tab w:val="center" w:pos="5940"/>
              </w:tabs>
              <w:autoSpaceDE w:val="0"/>
              <w:autoSpaceDN w:val="0"/>
              <w:adjustRightInd w:val="0"/>
              <w:jc w:val="center"/>
              <w:rPr>
                <w:rFonts w:ascii="Garamond" w:hAnsi="Garamond" w:cs="Times New Roman"/>
                <w:color w:val="FFFFFF"/>
                <w:sz w:val="24"/>
                <w:szCs w:val="24"/>
                <w:lang w:val="sq-AL"/>
              </w:rPr>
            </w:pPr>
          </w:p>
        </w:tc>
      </w:tr>
    </w:tbl>
    <w:p w14:paraId="542719F4" w14:textId="0FA1B752" w:rsidR="00803BA2" w:rsidRPr="00C67C8A" w:rsidRDefault="00524D49" w:rsidP="00803BA2">
      <w:pPr>
        <w:pStyle w:val="DecHTitle"/>
        <w:spacing w:after="0"/>
        <w:ind w:firstLine="0"/>
        <w:rPr>
          <w:rFonts w:ascii="Garamond" w:hAnsi="Garamond"/>
          <w:sz w:val="24"/>
          <w:szCs w:val="24"/>
          <w:lang w:val="sq-AL"/>
        </w:rPr>
      </w:pPr>
      <w:r w:rsidRPr="00C67C8A">
        <w:rPr>
          <w:rFonts w:ascii="Garamond" w:hAnsi="Garamond"/>
          <w:sz w:val="24"/>
          <w:szCs w:val="24"/>
          <w:lang w:val="sq-AL"/>
        </w:rPr>
        <w:t>SHTOJCË</w:t>
      </w:r>
    </w:p>
    <w:p w14:paraId="69E218C0" w14:textId="3C4FB283" w:rsidR="00803BA2" w:rsidRPr="00C67C8A" w:rsidRDefault="00803BA2" w:rsidP="00C93796">
      <w:pPr>
        <w:pStyle w:val="DecHCase"/>
        <w:keepNext w:val="0"/>
        <w:keepLines w:val="0"/>
        <w:spacing w:after="0"/>
        <w:ind w:firstLine="0"/>
        <w:jc w:val="left"/>
        <w:rPr>
          <w:rFonts w:ascii="Garamond" w:eastAsia="Times New Roman" w:hAnsi="Garamond"/>
          <w:lang w:val="sq-AL"/>
        </w:rPr>
      </w:pPr>
      <w:r w:rsidRPr="00C67C8A">
        <w:rPr>
          <w:rFonts w:ascii="Garamond" w:hAnsi="Garamond"/>
          <w:lang w:val="sq-AL"/>
        </w:rPr>
        <w:t>Lista e kërkuesve:</w:t>
      </w:r>
    </w:p>
    <w:tbl>
      <w:tblPr>
        <w:tblStyle w:val="ECHRListTable"/>
        <w:tblW w:w="1981" w:type="pct"/>
        <w:tblLook w:val="0420" w:firstRow="1" w:lastRow="0" w:firstColumn="0" w:lastColumn="0" w:noHBand="0" w:noVBand="1"/>
      </w:tblPr>
      <w:tblGrid>
        <w:gridCol w:w="506"/>
        <w:gridCol w:w="1519"/>
        <w:gridCol w:w="1823"/>
        <w:gridCol w:w="977"/>
        <w:gridCol w:w="1054"/>
      </w:tblGrid>
      <w:tr w:rsidR="00803BA2" w:rsidRPr="00C67C8A" w14:paraId="6B0DFB30" w14:textId="77777777" w:rsidTr="003B5215">
        <w:trPr>
          <w:cnfStyle w:val="100000000000" w:firstRow="1" w:lastRow="0" w:firstColumn="0" w:lastColumn="0" w:oddVBand="0" w:evenVBand="0" w:oddHBand="0" w:evenHBand="0" w:firstRowFirstColumn="0" w:firstRowLastColumn="0" w:lastRowFirstColumn="0" w:lastRowLastColumn="0"/>
          <w:trHeight w:val="70"/>
        </w:trPr>
        <w:tc>
          <w:tcPr>
            <w:tcW w:w="424" w:type="pct"/>
          </w:tcPr>
          <w:p w14:paraId="21DC5E7C" w14:textId="77777777" w:rsidR="00803BA2" w:rsidRPr="00C67C8A" w:rsidRDefault="00803BA2" w:rsidP="00803BA2">
            <w:pPr>
              <w:jc w:val="center"/>
              <w:rPr>
                <w:rFonts w:ascii="Garamond" w:eastAsia="Times New Roman" w:hAnsi="Garamond" w:cs="Times New Roman"/>
                <w:color w:val="000000" w:themeColor="text1"/>
                <w:sz w:val="20"/>
              </w:rPr>
            </w:pPr>
            <w:r w:rsidRPr="00C67C8A">
              <w:rPr>
                <w:rFonts w:ascii="Garamond" w:hAnsi="Garamond" w:cs="Times New Roman"/>
                <w:color w:val="000000" w:themeColor="text1"/>
                <w:sz w:val="20"/>
              </w:rPr>
              <w:t>Nr.</w:t>
            </w:r>
          </w:p>
        </w:tc>
        <w:tc>
          <w:tcPr>
            <w:tcW w:w="1143" w:type="pct"/>
          </w:tcPr>
          <w:p w14:paraId="1E2181A2" w14:textId="77777777" w:rsidR="00803BA2" w:rsidRPr="00C67C8A" w:rsidRDefault="00803BA2" w:rsidP="00803BA2">
            <w:pPr>
              <w:jc w:val="center"/>
              <w:rPr>
                <w:rFonts w:ascii="Garamond" w:eastAsia="Times New Roman" w:hAnsi="Garamond" w:cs="Times New Roman"/>
                <w:color w:val="000000" w:themeColor="text1"/>
                <w:sz w:val="20"/>
              </w:rPr>
            </w:pPr>
            <w:r w:rsidRPr="00C67C8A">
              <w:rPr>
                <w:rFonts w:ascii="Garamond" w:hAnsi="Garamond" w:cs="Times New Roman"/>
                <w:color w:val="000000" w:themeColor="text1"/>
                <w:sz w:val="20"/>
              </w:rPr>
              <w:t>Emri i kërkuesit</w:t>
            </w:r>
          </w:p>
        </w:tc>
        <w:tc>
          <w:tcPr>
            <w:tcW w:w="1144" w:type="pct"/>
          </w:tcPr>
          <w:p w14:paraId="0676DB61" w14:textId="77777777" w:rsidR="00803BA2" w:rsidRPr="00C67C8A" w:rsidRDefault="00803BA2" w:rsidP="00803BA2">
            <w:pPr>
              <w:jc w:val="center"/>
              <w:rPr>
                <w:rFonts w:ascii="Garamond" w:eastAsia="Times New Roman" w:hAnsi="Garamond" w:cs="Times New Roman"/>
                <w:color w:val="000000" w:themeColor="text1"/>
                <w:sz w:val="20"/>
              </w:rPr>
            </w:pPr>
            <w:r w:rsidRPr="00C67C8A">
              <w:rPr>
                <w:rFonts w:ascii="Garamond" w:hAnsi="Garamond" w:cs="Times New Roman"/>
                <w:color w:val="000000" w:themeColor="text1"/>
                <w:sz w:val="20"/>
              </w:rPr>
              <w:t>Viti i lindjes/regjistrimit</w:t>
            </w:r>
          </w:p>
        </w:tc>
        <w:tc>
          <w:tcPr>
            <w:tcW w:w="1144" w:type="pct"/>
          </w:tcPr>
          <w:p w14:paraId="18CABC35" w14:textId="77777777" w:rsidR="00803BA2" w:rsidRPr="00C67C8A" w:rsidRDefault="00803BA2" w:rsidP="00803BA2">
            <w:pPr>
              <w:jc w:val="center"/>
              <w:rPr>
                <w:rFonts w:ascii="Garamond" w:eastAsia="Times New Roman" w:hAnsi="Garamond" w:cs="Times New Roman"/>
                <w:color w:val="000000" w:themeColor="text1"/>
                <w:sz w:val="20"/>
              </w:rPr>
            </w:pPr>
            <w:r w:rsidRPr="00C67C8A">
              <w:rPr>
                <w:rFonts w:ascii="Garamond" w:hAnsi="Garamond" w:cs="Times New Roman"/>
                <w:color w:val="000000" w:themeColor="text1"/>
                <w:sz w:val="20"/>
              </w:rPr>
              <w:t>Shtetësia</w:t>
            </w:r>
          </w:p>
        </w:tc>
        <w:tc>
          <w:tcPr>
            <w:tcW w:w="1144" w:type="pct"/>
          </w:tcPr>
          <w:p w14:paraId="34A2F7EC" w14:textId="77777777" w:rsidR="00803BA2" w:rsidRPr="00C67C8A" w:rsidRDefault="00803BA2" w:rsidP="00803BA2">
            <w:pPr>
              <w:jc w:val="center"/>
              <w:rPr>
                <w:rFonts w:ascii="Garamond" w:eastAsia="Times New Roman" w:hAnsi="Garamond" w:cs="Times New Roman"/>
                <w:color w:val="000000" w:themeColor="text1"/>
                <w:sz w:val="20"/>
              </w:rPr>
            </w:pPr>
            <w:r w:rsidRPr="00C67C8A">
              <w:rPr>
                <w:rFonts w:ascii="Garamond" w:hAnsi="Garamond" w:cs="Times New Roman"/>
                <w:color w:val="000000" w:themeColor="text1"/>
                <w:sz w:val="20"/>
              </w:rPr>
              <w:t>Vendi i qëndrimit</w:t>
            </w:r>
          </w:p>
        </w:tc>
      </w:tr>
      <w:tr w:rsidR="00803BA2" w:rsidRPr="00C67C8A" w14:paraId="709951E1" w14:textId="77777777" w:rsidTr="003B5215">
        <w:trPr>
          <w:trHeight w:val="19"/>
        </w:trPr>
        <w:tc>
          <w:tcPr>
            <w:tcW w:w="424" w:type="pct"/>
          </w:tcPr>
          <w:p w14:paraId="126A5434" w14:textId="77777777" w:rsidR="00803BA2" w:rsidRPr="00C67C8A" w:rsidRDefault="00803BA2" w:rsidP="00803BA2">
            <w:pPr>
              <w:rPr>
                <w:rFonts w:ascii="Garamond" w:eastAsia="Times New Roman" w:hAnsi="Garamond" w:cs="Times New Roman"/>
                <w:sz w:val="20"/>
              </w:rPr>
            </w:pPr>
            <w:r w:rsidRPr="00C67C8A">
              <w:rPr>
                <w:rFonts w:ascii="Garamond" w:hAnsi="Garamond" w:cs="Times New Roman"/>
                <w:sz w:val="20"/>
              </w:rPr>
              <w:t>1.</w:t>
            </w:r>
          </w:p>
        </w:tc>
        <w:tc>
          <w:tcPr>
            <w:tcW w:w="1143" w:type="pct"/>
          </w:tcPr>
          <w:p w14:paraId="142D1ACC" w14:textId="77777777" w:rsidR="00803BA2" w:rsidRPr="00C67C8A" w:rsidRDefault="00803BA2" w:rsidP="00803BA2">
            <w:pPr>
              <w:rPr>
                <w:rFonts w:ascii="Garamond" w:eastAsia="Times New Roman" w:hAnsi="Garamond" w:cs="Times New Roman"/>
                <w:sz w:val="20"/>
              </w:rPr>
            </w:pPr>
            <w:r w:rsidRPr="00C67C8A">
              <w:rPr>
                <w:rFonts w:ascii="Garamond" w:hAnsi="Garamond" w:cs="Times New Roman"/>
                <w:sz w:val="20"/>
              </w:rPr>
              <w:t>Francesco BECCHETTI</w:t>
            </w:r>
          </w:p>
        </w:tc>
        <w:tc>
          <w:tcPr>
            <w:tcW w:w="1144" w:type="pct"/>
          </w:tcPr>
          <w:p w14:paraId="2169B7AA" w14:textId="70C484E6" w:rsidR="00803BA2" w:rsidRPr="00C67C8A" w:rsidRDefault="00AC6C3B" w:rsidP="00AC6C3B">
            <w:pPr>
              <w:jc w:val="center"/>
              <w:rPr>
                <w:rFonts w:ascii="Garamond" w:eastAsia="Times New Roman" w:hAnsi="Garamond" w:cs="Times New Roman"/>
                <w:sz w:val="20"/>
              </w:rPr>
            </w:pPr>
            <w:r w:rsidRPr="00C67C8A">
              <w:rPr>
                <w:rFonts w:ascii="Garamond" w:hAnsi="Garamond" w:cs="Times New Roman"/>
                <w:sz w:val="20"/>
              </w:rPr>
              <w:t>1966</w:t>
            </w:r>
          </w:p>
        </w:tc>
        <w:tc>
          <w:tcPr>
            <w:tcW w:w="1144" w:type="pct"/>
          </w:tcPr>
          <w:p w14:paraId="6FB7A708" w14:textId="1EAD1306" w:rsidR="00803BA2" w:rsidRPr="00C67C8A" w:rsidRDefault="00AC6C3B" w:rsidP="00AC6C3B">
            <w:pPr>
              <w:jc w:val="center"/>
              <w:rPr>
                <w:rFonts w:ascii="Garamond" w:eastAsia="Times New Roman" w:hAnsi="Garamond" w:cs="Times New Roman"/>
                <w:sz w:val="20"/>
              </w:rPr>
            </w:pPr>
            <w:r w:rsidRPr="00C67C8A">
              <w:rPr>
                <w:rFonts w:ascii="Garamond" w:hAnsi="Garamond" w:cs="Times New Roman"/>
                <w:sz w:val="20"/>
              </w:rPr>
              <w:t>italian</w:t>
            </w:r>
          </w:p>
        </w:tc>
        <w:tc>
          <w:tcPr>
            <w:tcW w:w="1144" w:type="pct"/>
          </w:tcPr>
          <w:p w14:paraId="738FD989" w14:textId="77777777" w:rsidR="00803BA2" w:rsidRPr="00C67C8A" w:rsidRDefault="00803BA2" w:rsidP="00803BA2">
            <w:pPr>
              <w:rPr>
                <w:rFonts w:ascii="Garamond" w:eastAsia="Times New Roman" w:hAnsi="Garamond" w:cs="Times New Roman"/>
                <w:sz w:val="20"/>
              </w:rPr>
            </w:pPr>
            <w:r w:rsidRPr="00C67C8A">
              <w:rPr>
                <w:rFonts w:ascii="Garamond" w:hAnsi="Garamond" w:cs="Times New Roman"/>
                <w:sz w:val="20"/>
              </w:rPr>
              <w:t>Londër</w:t>
            </w:r>
          </w:p>
        </w:tc>
      </w:tr>
      <w:tr w:rsidR="00803BA2" w:rsidRPr="00C67C8A" w14:paraId="034943C3" w14:textId="77777777" w:rsidTr="007C1414">
        <w:tc>
          <w:tcPr>
            <w:tcW w:w="424" w:type="pct"/>
          </w:tcPr>
          <w:p w14:paraId="44E72158" w14:textId="77777777" w:rsidR="00803BA2" w:rsidRPr="00C67C8A" w:rsidRDefault="00803BA2" w:rsidP="00803BA2">
            <w:pPr>
              <w:rPr>
                <w:rFonts w:ascii="Garamond" w:eastAsia="Times New Roman" w:hAnsi="Garamond" w:cs="Times New Roman"/>
                <w:sz w:val="20"/>
              </w:rPr>
            </w:pPr>
            <w:r w:rsidRPr="00C67C8A">
              <w:rPr>
                <w:rFonts w:ascii="Garamond" w:hAnsi="Garamond" w:cs="Times New Roman"/>
                <w:sz w:val="20"/>
              </w:rPr>
              <w:t>2.</w:t>
            </w:r>
          </w:p>
        </w:tc>
        <w:tc>
          <w:tcPr>
            <w:tcW w:w="1143" w:type="pct"/>
          </w:tcPr>
          <w:p w14:paraId="71F70981" w14:textId="77777777" w:rsidR="00803BA2" w:rsidRPr="00C67C8A" w:rsidRDefault="00803BA2" w:rsidP="00803BA2">
            <w:pPr>
              <w:rPr>
                <w:rFonts w:ascii="Garamond" w:eastAsia="Times New Roman" w:hAnsi="Garamond" w:cs="Times New Roman"/>
                <w:sz w:val="20"/>
              </w:rPr>
            </w:pPr>
            <w:r w:rsidRPr="00C67C8A">
              <w:rPr>
                <w:rFonts w:ascii="Garamond" w:hAnsi="Garamond" w:cs="Times New Roman"/>
                <w:sz w:val="20"/>
              </w:rPr>
              <w:t>Liliana CONDOMITTI</w:t>
            </w:r>
          </w:p>
        </w:tc>
        <w:tc>
          <w:tcPr>
            <w:tcW w:w="1144" w:type="pct"/>
          </w:tcPr>
          <w:p w14:paraId="2D348038" w14:textId="7DA91F59" w:rsidR="00803BA2" w:rsidRPr="00C67C8A" w:rsidRDefault="00AC6C3B" w:rsidP="00AC6C3B">
            <w:pPr>
              <w:jc w:val="center"/>
              <w:rPr>
                <w:rFonts w:ascii="Garamond" w:eastAsia="Times New Roman" w:hAnsi="Garamond" w:cs="Times New Roman"/>
                <w:sz w:val="20"/>
              </w:rPr>
            </w:pPr>
            <w:r w:rsidRPr="00C67C8A">
              <w:rPr>
                <w:rFonts w:ascii="Garamond" w:hAnsi="Garamond" w:cs="Times New Roman"/>
                <w:sz w:val="20"/>
              </w:rPr>
              <w:t>1941</w:t>
            </w:r>
          </w:p>
        </w:tc>
        <w:tc>
          <w:tcPr>
            <w:tcW w:w="1144" w:type="pct"/>
          </w:tcPr>
          <w:p w14:paraId="52279C9D" w14:textId="006B4DD1" w:rsidR="00803BA2" w:rsidRPr="00C67C8A" w:rsidRDefault="00AC6C3B" w:rsidP="00AC6C3B">
            <w:pPr>
              <w:jc w:val="center"/>
              <w:rPr>
                <w:rFonts w:ascii="Garamond" w:eastAsia="Times New Roman" w:hAnsi="Garamond" w:cs="Times New Roman"/>
                <w:sz w:val="20"/>
              </w:rPr>
            </w:pPr>
            <w:r w:rsidRPr="00C67C8A">
              <w:rPr>
                <w:rFonts w:ascii="Garamond" w:hAnsi="Garamond" w:cs="Times New Roman"/>
                <w:sz w:val="20"/>
              </w:rPr>
              <w:t>italiane</w:t>
            </w:r>
          </w:p>
        </w:tc>
        <w:tc>
          <w:tcPr>
            <w:tcW w:w="1144" w:type="pct"/>
          </w:tcPr>
          <w:p w14:paraId="54B01CAF" w14:textId="77777777" w:rsidR="00803BA2" w:rsidRPr="00C67C8A" w:rsidRDefault="00803BA2" w:rsidP="00803BA2">
            <w:pPr>
              <w:rPr>
                <w:rFonts w:ascii="Garamond" w:eastAsia="Times New Roman" w:hAnsi="Garamond" w:cs="Times New Roman"/>
                <w:sz w:val="20"/>
              </w:rPr>
            </w:pPr>
            <w:r w:rsidRPr="00C67C8A">
              <w:rPr>
                <w:rFonts w:ascii="Garamond" w:hAnsi="Garamond" w:cs="Times New Roman"/>
                <w:sz w:val="20"/>
              </w:rPr>
              <w:t>Londër</w:t>
            </w:r>
          </w:p>
        </w:tc>
      </w:tr>
      <w:tr w:rsidR="00803BA2" w:rsidRPr="00C67C8A" w14:paraId="42CA10CE" w14:textId="77777777" w:rsidTr="007C1414">
        <w:tc>
          <w:tcPr>
            <w:tcW w:w="424" w:type="pct"/>
          </w:tcPr>
          <w:p w14:paraId="2CB94FAE" w14:textId="77777777" w:rsidR="00803BA2" w:rsidRPr="00C67C8A" w:rsidRDefault="00803BA2" w:rsidP="00803BA2">
            <w:pPr>
              <w:rPr>
                <w:rFonts w:ascii="Garamond" w:eastAsia="Times New Roman" w:hAnsi="Garamond" w:cs="Times New Roman"/>
                <w:sz w:val="20"/>
              </w:rPr>
            </w:pPr>
            <w:r w:rsidRPr="00C67C8A">
              <w:rPr>
                <w:rFonts w:ascii="Garamond" w:hAnsi="Garamond" w:cs="Times New Roman"/>
                <w:sz w:val="20"/>
              </w:rPr>
              <w:t>3.</w:t>
            </w:r>
          </w:p>
        </w:tc>
        <w:tc>
          <w:tcPr>
            <w:tcW w:w="1143" w:type="pct"/>
          </w:tcPr>
          <w:p w14:paraId="5C3296C3" w14:textId="77777777" w:rsidR="00803BA2" w:rsidRPr="00C67C8A" w:rsidRDefault="00803BA2" w:rsidP="00803BA2">
            <w:pPr>
              <w:rPr>
                <w:rFonts w:ascii="Garamond" w:eastAsia="Times New Roman" w:hAnsi="Garamond" w:cs="Times New Roman"/>
                <w:sz w:val="20"/>
              </w:rPr>
            </w:pPr>
            <w:r w:rsidRPr="00C67C8A">
              <w:rPr>
                <w:rFonts w:ascii="Garamond" w:hAnsi="Garamond" w:cs="Times New Roman"/>
                <w:sz w:val="20"/>
              </w:rPr>
              <w:t>Mauro DE RENZIS</w:t>
            </w:r>
          </w:p>
        </w:tc>
        <w:tc>
          <w:tcPr>
            <w:tcW w:w="1144" w:type="pct"/>
          </w:tcPr>
          <w:p w14:paraId="1BCE8B70" w14:textId="02E4DC1A" w:rsidR="00803BA2" w:rsidRPr="00C67C8A" w:rsidRDefault="00AC6C3B" w:rsidP="00AC6C3B">
            <w:pPr>
              <w:jc w:val="center"/>
              <w:rPr>
                <w:rFonts w:ascii="Garamond" w:eastAsia="Times New Roman" w:hAnsi="Garamond" w:cs="Times New Roman"/>
                <w:sz w:val="20"/>
              </w:rPr>
            </w:pPr>
            <w:r w:rsidRPr="00C67C8A">
              <w:rPr>
                <w:rFonts w:ascii="Garamond" w:hAnsi="Garamond" w:cs="Times New Roman"/>
                <w:sz w:val="20"/>
              </w:rPr>
              <w:t>1955</w:t>
            </w:r>
          </w:p>
        </w:tc>
        <w:tc>
          <w:tcPr>
            <w:tcW w:w="1144" w:type="pct"/>
          </w:tcPr>
          <w:p w14:paraId="5DC7FDEF" w14:textId="47CB88FF" w:rsidR="00803BA2" w:rsidRPr="00C67C8A" w:rsidRDefault="00AC6C3B" w:rsidP="00AC6C3B">
            <w:pPr>
              <w:jc w:val="center"/>
              <w:rPr>
                <w:rFonts w:ascii="Garamond" w:eastAsia="Times New Roman" w:hAnsi="Garamond" w:cs="Times New Roman"/>
                <w:sz w:val="20"/>
              </w:rPr>
            </w:pPr>
            <w:r w:rsidRPr="00C67C8A">
              <w:rPr>
                <w:rFonts w:ascii="Garamond" w:hAnsi="Garamond" w:cs="Times New Roman"/>
                <w:sz w:val="20"/>
              </w:rPr>
              <w:t>italian</w:t>
            </w:r>
          </w:p>
        </w:tc>
        <w:tc>
          <w:tcPr>
            <w:tcW w:w="1144" w:type="pct"/>
          </w:tcPr>
          <w:p w14:paraId="5C65A725" w14:textId="77777777" w:rsidR="00803BA2" w:rsidRPr="00C67C8A" w:rsidRDefault="00803BA2" w:rsidP="00803BA2">
            <w:pPr>
              <w:rPr>
                <w:rFonts w:ascii="Garamond" w:eastAsia="Times New Roman" w:hAnsi="Garamond" w:cs="Times New Roman"/>
                <w:sz w:val="20"/>
              </w:rPr>
            </w:pPr>
            <w:r w:rsidRPr="00C67C8A">
              <w:rPr>
                <w:rFonts w:ascii="Garamond" w:hAnsi="Garamond" w:cs="Times New Roman"/>
                <w:sz w:val="20"/>
              </w:rPr>
              <w:t>Romë</w:t>
            </w:r>
          </w:p>
        </w:tc>
      </w:tr>
      <w:tr w:rsidR="00803BA2" w:rsidRPr="00C67C8A" w14:paraId="11C2605C" w14:textId="77777777" w:rsidTr="007C1414">
        <w:tc>
          <w:tcPr>
            <w:tcW w:w="424" w:type="pct"/>
          </w:tcPr>
          <w:p w14:paraId="5CF38AEC" w14:textId="77777777" w:rsidR="00803BA2" w:rsidRPr="00C67C8A" w:rsidRDefault="00803BA2" w:rsidP="00803BA2">
            <w:pPr>
              <w:rPr>
                <w:rFonts w:ascii="Garamond" w:eastAsia="Times New Roman" w:hAnsi="Garamond" w:cs="Times New Roman"/>
                <w:sz w:val="20"/>
              </w:rPr>
            </w:pPr>
            <w:r w:rsidRPr="00C67C8A">
              <w:rPr>
                <w:rFonts w:ascii="Garamond" w:hAnsi="Garamond" w:cs="Times New Roman"/>
                <w:sz w:val="20"/>
              </w:rPr>
              <w:t>4.</w:t>
            </w:r>
          </w:p>
        </w:tc>
        <w:tc>
          <w:tcPr>
            <w:tcW w:w="1143" w:type="pct"/>
          </w:tcPr>
          <w:p w14:paraId="062562A5" w14:textId="77777777" w:rsidR="00803BA2" w:rsidRPr="00C67C8A" w:rsidRDefault="00803BA2" w:rsidP="00803BA2">
            <w:pPr>
              <w:rPr>
                <w:rFonts w:ascii="Garamond" w:eastAsia="Times New Roman" w:hAnsi="Garamond" w:cs="Times New Roman"/>
                <w:sz w:val="20"/>
              </w:rPr>
            </w:pPr>
            <w:r w:rsidRPr="00C67C8A">
              <w:rPr>
                <w:rFonts w:ascii="Garamond" w:hAnsi="Garamond" w:cs="Times New Roman"/>
                <w:sz w:val="20"/>
              </w:rPr>
              <w:t>Erjona TROPLINI</w:t>
            </w:r>
          </w:p>
        </w:tc>
        <w:tc>
          <w:tcPr>
            <w:tcW w:w="1144" w:type="pct"/>
          </w:tcPr>
          <w:p w14:paraId="6345FE6D" w14:textId="2DC9E4DE" w:rsidR="00803BA2" w:rsidRPr="00C67C8A" w:rsidRDefault="00AC6C3B" w:rsidP="00AC6C3B">
            <w:pPr>
              <w:jc w:val="center"/>
              <w:rPr>
                <w:rFonts w:ascii="Garamond" w:eastAsia="Times New Roman" w:hAnsi="Garamond" w:cs="Times New Roman"/>
                <w:sz w:val="20"/>
              </w:rPr>
            </w:pPr>
            <w:r w:rsidRPr="00C67C8A">
              <w:rPr>
                <w:rFonts w:ascii="Garamond" w:hAnsi="Garamond" w:cs="Times New Roman"/>
                <w:sz w:val="20"/>
              </w:rPr>
              <w:t>1978</w:t>
            </w:r>
          </w:p>
        </w:tc>
        <w:tc>
          <w:tcPr>
            <w:tcW w:w="1144" w:type="pct"/>
          </w:tcPr>
          <w:p w14:paraId="0F3E7511" w14:textId="6F57C0A6" w:rsidR="00803BA2" w:rsidRPr="00C67C8A" w:rsidRDefault="00AC6C3B" w:rsidP="00AC6C3B">
            <w:pPr>
              <w:jc w:val="center"/>
              <w:rPr>
                <w:rFonts w:ascii="Garamond" w:eastAsia="Times New Roman" w:hAnsi="Garamond" w:cs="Times New Roman"/>
                <w:sz w:val="20"/>
              </w:rPr>
            </w:pPr>
            <w:r w:rsidRPr="00C67C8A">
              <w:rPr>
                <w:rFonts w:ascii="Garamond" w:hAnsi="Garamond" w:cs="Times New Roman"/>
                <w:sz w:val="20"/>
              </w:rPr>
              <w:t>shqiptare</w:t>
            </w:r>
          </w:p>
        </w:tc>
        <w:tc>
          <w:tcPr>
            <w:tcW w:w="1144" w:type="pct"/>
          </w:tcPr>
          <w:p w14:paraId="6A1DBC01" w14:textId="77777777" w:rsidR="00803BA2" w:rsidRPr="00C67C8A" w:rsidRDefault="00803BA2" w:rsidP="00803BA2">
            <w:pPr>
              <w:rPr>
                <w:rFonts w:ascii="Garamond" w:eastAsia="Times New Roman" w:hAnsi="Garamond" w:cs="Times New Roman"/>
                <w:sz w:val="20"/>
              </w:rPr>
            </w:pPr>
            <w:r w:rsidRPr="00C67C8A">
              <w:rPr>
                <w:rFonts w:ascii="Garamond" w:hAnsi="Garamond" w:cs="Times New Roman"/>
                <w:sz w:val="20"/>
              </w:rPr>
              <w:t>Tiranë</w:t>
            </w:r>
          </w:p>
        </w:tc>
      </w:tr>
    </w:tbl>
    <w:p w14:paraId="68F775C6" w14:textId="77777777" w:rsidR="00803BA2" w:rsidRPr="00C67C8A" w:rsidRDefault="00803BA2" w:rsidP="00803BA2">
      <w:pPr>
        <w:spacing w:after="0" w:line="240" w:lineRule="auto"/>
        <w:rPr>
          <w:rFonts w:ascii="Garamond" w:eastAsia="Times New Roman" w:hAnsi="Garamond" w:cs="Times New Roman"/>
          <w:sz w:val="24"/>
          <w:szCs w:val="24"/>
          <w:lang w:val="sq-AL"/>
        </w:rPr>
      </w:pPr>
    </w:p>
    <w:p w14:paraId="4C40270E" w14:textId="77777777" w:rsidR="00803BA2" w:rsidRPr="00C67C8A" w:rsidRDefault="00803BA2" w:rsidP="001F4085">
      <w:pPr>
        <w:tabs>
          <w:tab w:val="center" w:pos="1400"/>
          <w:tab w:val="center" w:pos="5940"/>
        </w:tabs>
        <w:autoSpaceDE w:val="0"/>
        <w:autoSpaceDN w:val="0"/>
        <w:adjustRightInd w:val="0"/>
        <w:spacing w:after="0" w:line="240" w:lineRule="auto"/>
        <w:ind w:firstLine="284"/>
        <w:jc w:val="both"/>
        <w:rPr>
          <w:rFonts w:ascii="Garamond" w:hAnsi="Garamond" w:cs="Times New Roman"/>
          <w:color w:val="FFFFFF"/>
          <w:sz w:val="24"/>
          <w:szCs w:val="24"/>
          <w:lang w:val="sq-AL"/>
        </w:rPr>
      </w:pPr>
    </w:p>
    <w:p w14:paraId="53C96763" w14:textId="77777777" w:rsidR="001F4085" w:rsidRPr="00C67C8A" w:rsidRDefault="001F4085" w:rsidP="001F4085">
      <w:pPr>
        <w:pageBreakBefore/>
        <w:autoSpaceDE w:val="0"/>
        <w:autoSpaceDN w:val="0"/>
        <w:adjustRightInd w:val="0"/>
        <w:spacing w:after="0" w:line="240" w:lineRule="auto"/>
        <w:ind w:firstLine="284"/>
        <w:jc w:val="both"/>
        <w:rPr>
          <w:rFonts w:ascii="Garamond" w:hAnsi="Garamond" w:cs="Times New Roman"/>
          <w:color w:val="000000"/>
          <w:sz w:val="24"/>
          <w:szCs w:val="24"/>
          <w:lang w:val="sq-AL"/>
        </w:rPr>
      </w:pPr>
    </w:p>
    <w:p w14:paraId="2C8B7526" w14:textId="77777777" w:rsidR="001F4085" w:rsidRPr="00C67C8A" w:rsidRDefault="001F4085" w:rsidP="001F4085">
      <w:pPr>
        <w:spacing w:after="0" w:line="240" w:lineRule="auto"/>
        <w:ind w:firstLine="284"/>
        <w:jc w:val="both"/>
        <w:rPr>
          <w:rFonts w:ascii="Garamond" w:hAnsi="Garamond"/>
          <w:sz w:val="24"/>
          <w:szCs w:val="24"/>
          <w:lang w:val="sq-AL"/>
        </w:rPr>
      </w:pPr>
    </w:p>
    <w:sectPr w:rsidR="001F4085" w:rsidRPr="00C67C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D1D"/>
    <w:rsid w:val="00094CB5"/>
    <w:rsid w:val="000F74B6"/>
    <w:rsid w:val="001F4085"/>
    <w:rsid w:val="0020622A"/>
    <w:rsid w:val="002B32EA"/>
    <w:rsid w:val="0031465F"/>
    <w:rsid w:val="003516AB"/>
    <w:rsid w:val="003B5215"/>
    <w:rsid w:val="00420FCC"/>
    <w:rsid w:val="00456C75"/>
    <w:rsid w:val="00495544"/>
    <w:rsid w:val="004B6F21"/>
    <w:rsid w:val="00524D49"/>
    <w:rsid w:val="005C4F8D"/>
    <w:rsid w:val="00611626"/>
    <w:rsid w:val="00693A91"/>
    <w:rsid w:val="007A461B"/>
    <w:rsid w:val="007C1414"/>
    <w:rsid w:val="00803BA2"/>
    <w:rsid w:val="00821878"/>
    <w:rsid w:val="00881648"/>
    <w:rsid w:val="008B60DA"/>
    <w:rsid w:val="008C7EE7"/>
    <w:rsid w:val="00935333"/>
    <w:rsid w:val="00A8648B"/>
    <w:rsid w:val="00AC6C3B"/>
    <w:rsid w:val="00AD6F91"/>
    <w:rsid w:val="00B255D6"/>
    <w:rsid w:val="00C67C8A"/>
    <w:rsid w:val="00C93796"/>
    <w:rsid w:val="00C94D57"/>
    <w:rsid w:val="00D457B6"/>
    <w:rsid w:val="00DE1916"/>
    <w:rsid w:val="00E76F6D"/>
    <w:rsid w:val="00E95D1D"/>
    <w:rsid w:val="00EE56F8"/>
    <w:rsid w:val="00F23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3078B"/>
  <w15:chartTrackingRefBased/>
  <w15:docId w15:val="{3A9E48BA-2D38-4045-9356-ED38CC3A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40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F40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HRPlaceholder">
    <w:name w:val="ECHR_Placeholder"/>
    <w:aliases w:val="_Placeholder"/>
    <w:rsid w:val="001F4085"/>
    <w:pPr>
      <w:tabs>
        <w:tab w:val="center" w:pos="1400"/>
        <w:tab w:val="center" w:pos="5940"/>
      </w:tabs>
      <w:autoSpaceDE w:val="0"/>
      <w:autoSpaceDN w:val="0"/>
      <w:adjustRightInd w:val="0"/>
      <w:spacing w:before="720" w:after="0" w:line="240" w:lineRule="auto"/>
    </w:pPr>
    <w:rPr>
      <w:rFonts w:ascii="Times New Roman" w:hAnsi="Times New Roman" w:cs="Times New Roman"/>
      <w:color w:val="FFFFFF"/>
      <w:sz w:val="24"/>
      <w:szCs w:val="24"/>
    </w:rPr>
  </w:style>
  <w:style w:type="paragraph" w:customStyle="1" w:styleId="JuParaLast">
    <w:name w:val="Ju_Para_Last"/>
    <w:aliases w:val="_Para_Spaced"/>
    <w:basedOn w:val="Normal"/>
    <w:uiPriority w:val="99"/>
    <w:rsid w:val="001F4085"/>
    <w:pPr>
      <w:keepNext/>
      <w:keepLines/>
      <w:autoSpaceDE w:val="0"/>
      <w:autoSpaceDN w:val="0"/>
      <w:adjustRightInd w:val="0"/>
      <w:spacing w:before="240" w:after="240" w:line="240" w:lineRule="auto"/>
      <w:ind w:firstLine="280"/>
      <w:jc w:val="both"/>
    </w:pPr>
    <w:rPr>
      <w:rFonts w:ascii="Times New Roman" w:hAnsi="Times New Roman" w:cs="Times New Roman"/>
      <w:color w:val="000000"/>
      <w:sz w:val="24"/>
      <w:szCs w:val="24"/>
    </w:rPr>
  </w:style>
  <w:style w:type="paragraph" w:customStyle="1" w:styleId="DecList">
    <w:name w:val="Dec_List"/>
    <w:aliases w:val="_List"/>
    <w:basedOn w:val="Normal"/>
    <w:uiPriority w:val="99"/>
    <w:rsid w:val="001F4085"/>
    <w:pPr>
      <w:autoSpaceDE w:val="0"/>
      <w:autoSpaceDN w:val="0"/>
      <w:adjustRightInd w:val="0"/>
      <w:spacing w:before="280" w:after="60" w:line="240" w:lineRule="auto"/>
      <w:ind w:left="280"/>
      <w:jc w:val="both"/>
    </w:pPr>
    <w:rPr>
      <w:rFonts w:ascii="Times New Roman" w:hAnsi="Times New Roman" w:cs="Times New Roman"/>
      <w:color w:val="000000"/>
      <w:sz w:val="24"/>
      <w:szCs w:val="24"/>
    </w:rPr>
  </w:style>
  <w:style w:type="paragraph" w:customStyle="1" w:styleId="JuHA">
    <w:name w:val="Ju_H_A"/>
    <w:aliases w:val="_Head_3"/>
    <w:basedOn w:val="Heading3"/>
    <w:next w:val="JuPara"/>
    <w:uiPriority w:val="99"/>
    <w:rsid w:val="001F4085"/>
    <w:pPr>
      <w:tabs>
        <w:tab w:val="left" w:pos="360"/>
      </w:tabs>
      <w:autoSpaceDE w:val="0"/>
      <w:autoSpaceDN w:val="0"/>
      <w:adjustRightInd w:val="0"/>
      <w:spacing w:before="100" w:after="240" w:line="240" w:lineRule="auto"/>
      <w:jc w:val="both"/>
      <w:outlineLvl w:val="9"/>
    </w:pPr>
    <w:rPr>
      <w:rFonts w:ascii="Times New Roman" w:eastAsiaTheme="minorHAnsi" w:hAnsi="Times New Roman" w:cs="Times New Roman"/>
      <w:b/>
      <w:bCs/>
      <w:color w:val="auto"/>
    </w:rPr>
  </w:style>
  <w:style w:type="paragraph" w:customStyle="1" w:styleId="JuHHead">
    <w:name w:val="Ju_H_Head"/>
    <w:aliases w:val="_Head_1"/>
    <w:basedOn w:val="Heading1"/>
    <w:next w:val="JuPara"/>
    <w:uiPriority w:val="99"/>
    <w:rsid w:val="001F4085"/>
    <w:pPr>
      <w:tabs>
        <w:tab w:val="left" w:pos="360"/>
      </w:tabs>
      <w:autoSpaceDE w:val="0"/>
      <w:autoSpaceDN w:val="0"/>
      <w:adjustRightInd w:val="0"/>
      <w:spacing w:before="100" w:after="240" w:line="240" w:lineRule="auto"/>
      <w:jc w:val="both"/>
      <w:outlineLvl w:val="9"/>
    </w:pPr>
    <w:rPr>
      <w:rFonts w:ascii="Times New Roman" w:eastAsiaTheme="minorHAnsi" w:hAnsi="Times New Roman" w:cs="Times New Roman"/>
      <w:caps/>
      <w:color w:val="auto"/>
      <w:sz w:val="28"/>
      <w:szCs w:val="28"/>
    </w:rPr>
  </w:style>
  <w:style w:type="paragraph" w:customStyle="1" w:styleId="JuJudges">
    <w:name w:val="Ju_Judges"/>
    <w:aliases w:val="_Judges"/>
    <w:basedOn w:val="Normal"/>
    <w:uiPriority w:val="99"/>
    <w:rsid w:val="001F4085"/>
    <w:pPr>
      <w:tabs>
        <w:tab w:val="left" w:pos="560"/>
        <w:tab w:val="left" w:pos="1120"/>
      </w:tabs>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HCase">
    <w:name w:val="Dec_H_Case"/>
    <w:aliases w:val="_Title_3"/>
    <w:basedOn w:val="JuPara"/>
    <w:next w:val="JuPara"/>
    <w:uiPriority w:val="38"/>
    <w:qFormat/>
    <w:rsid w:val="001F4085"/>
    <w:pPr>
      <w:keepNext/>
      <w:keepLines/>
      <w:spacing w:after="280"/>
      <w:jc w:val="center"/>
    </w:pPr>
  </w:style>
  <w:style w:type="paragraph" w:customStyle="1" w:styleId="DecHTitle">
    <w:name w:val="Dec_H_Title"/>
    <w:aliases w:val="_Title_1"/>
    <w:basedOn w:val="JuPara"/>
    <w:next w:val="JuPara"/>
    <w:uiPriority w:val="38"/>
    <w:qFormat/>
    <w:rsid w:val="001F4085"/>
    <w:pPr>
      <w:keepNext/>
      <w:keepLines/>
      <w:spacing w:after="240"/>
      <w:jc w:val="center"/>
    </w:pPr>
    <w:rPr>
      <w:sz w:val="28"/>
      <w:szCs w:val="28"/>
    </w:rPr>
  </w:style>
  <w:style w:type="paragraph" w:customStyle="1" w:styleId="JuPara">
    <w:name w:val="Ju_Para"/>
    <w:aliases w:val="_Para"/>
    <w:basedOn w:val="Normal"/>
    <w:link w:val="JuParaChar"/>
    <w:uiPriority w:val="4"/>
    <w:qFormat/>
    <w:rsid w:val="001F4085"/>
    <w:pPr>
      <w:autoSpaceDE w:val="0"/>
      <w:autoSpaceDN w:val="0"/>
      <w:adjustRightInd w:val="0"/>
      <w:spacing w:after="0" w:line="240" w:lineRule="auto"/>
      <w:ind w:firstLine="280"/>
      <w:jc w:val="both"/>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1F4085"/>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1F4085"/>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803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ParaChar">
    <w:name w:val="Ju_Para Char"/>
    <w:aliases w:val="_Para Char"/>
    <w:link w:val="JuPara"/>
    <w:uiPriority w:val="4"/>
    <w:rsid w:val="00803BA2"/>
    <w:rPr>
      <w:rFonts w:ascii="Times New Roman" w:hAnsi="Times New Roman" w:cs="Times New Roman"/>
      <w:color w:val="000000"/>
      <w:sz w:val="24"/>
      <w:szCs w:val="24"/>
    </w:rPr>
  </w:style>
  <w:style w:type="table" w:customStyle="1" w:styleId="ECHRListTable">
    <w:name w:val="ECHR_List_Table"/>
    <w:basedOn w:val="TableNormal"/>
    <w:uiPriority w:val="99"/>
    <w:rsid w:val="00803BA2"/>
    <w:pPr>
      <w:spacing w:after="0" w:line="240" w:lineRule="auto"/>
    </w:pPr>
    <w:rPr>
      <w:sz w:val="24"/>
      <w:szCs w:val="24"/>
      <w:lang w:val="sq-AL"/>
    </w:rPr>
    <w:tblP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CellMar>
        <w:top w:w="28" w:type="dxa"/>
        <w:bottom w:w="28" w:type="dxa"/>
      </w:tblCellMar>
    </w:tblPr>
    <w:tblStylePr w:type="firstRow">
      <w:rPr>
        <w:b/>
        <w:color w:val="7B7B7B" w:themeColor="accent3" w:themeShade="BF"/>
      </w:rPr>
      <w:tblPr/>
      <w:trPr>
        <w:tblHeader/>
      </w:trPr>
      <w:tcPr>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cBorders>
        <w:shd w:val="clear" w:color="auto" w:fill="D0CECE" w:themeFill="background2" w:themeFillShade="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53488-15</Nr_x002e__x0020_akti>
    <Data_x0020_e_x0020_Krijimit xmlns="0e656187-b300-4fb0-8bf4-3a50f872073c">2023-11-15T14:14:46Z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2023-11-13T23:00:00Z</Date_x0020_protokolli>
    <Titulli xmlns="0e656187-b300-4fb0-8bf4-3a50f872073c">Frencesco Becchetti dhe të tjerë kundër Shqipërisë</Titulli>
    <Modifikuesi xmlns="0e656187-b300-4fb0-8bf4-3a50f872073c">ermira.bukaci</Modifikuesi>
    <Nr_x002e__x0020_prot_x0020_QBZ xmlns="0e656187-b300-4fb0-8bf4-3a50f872073c">1704-5</Nr_x002e__x0020_prot_x0020_QBZ>
    <Data_x0020_e_x0020_Modifikimit xmlns="0e656187-b300-4fb0-8bf4-3a50f872073c">2023-11-16T09:15:40Z</Data_x0020_e_x0020_Modifikimit>
    <Dekretuar xmlns="0e656187-b300-4fb0-8bf4-3a50f872073c">false</Dekretuar>
    <Data xmlns="0e656187-b300-4fb0-8bf4-3a50f872073c">2023-10-18T22:00:00Z</Data>
    <Nr_x002e__x0020_protokolli_x0020_i_x0020_aktit xmlns="0e656187-b300-4fb0-8bf4-3a50f872073c">6146/1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kt ligjor" ma:contentTypeID="0x010100244AAE03AD784B64B503FBBCA148C2D4"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ct:contentTypeSchema xmlns:ct="http://schemas.microsoft.com/office/2006/metadata/contentType" xmlns:ma="http://schemas.microsoft.com/office/2006/metadata/properties/metaAttributes" ct:_="" ma:_="" ma:contentTypeName="Akt ligjor" ma:contentTypeID="0x010100244AAE03AD784B64B503FBBCA148C2D4"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4914493-8B83-489D-9A7D-7DB5BAF8313D}">
  <ds:schemaRefs>
    <ds:schemaRef ds:uri="http://schemas.microsoft.com/sharepoint/v3/contenttype/forms"/>
  </ds:schemaRefs>
</ds:datastoreItem>
</file>

<file path=customXml/itemProps2.xml><?xml version="1.0" encoding="utf-8"?>
<ds:datastoreItem xmlns:ds="http://schemas.openxmlformats.org/officeDocument/2006/customXml" ds:itemID="{579E7098-3BB3-4BD4-93FA-6FD02EA37675}">
  <ds:schemaRefs>
    <ds:schemaRef ds:uri="http://schemas.microsoft.com/office/2006/metadata/properties"/>
    <ds:schemaRef ds:uri="http://schemas.microsoft.com/office/infopath/2007/PartnerControls"/>
    <ds:schemaRef ds:uri="0e656187-b300-4fb0-8bf4-3a50f872073c"/>
  </ds:schemaRefs>
</ds:datastoreItem>
</file>

<file path=customXml/itemProps3.xml><?xml version="1.0" encoding="utf-8"?>
<ds:datastoreItem xmlns:ds="http://schemas.openxmlformats.org/officeDocument/2006/customXml" ds:itemID="{55C613D2-668F-41A8-860A-83B4588B4B5D}">
  <ds:schemaRefs>
    <ds:schemaRef ds:uri="http://schemas.microsoft.com/sharepoint/v3/contenttype/forms"/>
  </ds:schemaRefs>
</ds:datastoreItem>
</file>

<file path=customXml/itemProps4.xml><?xml version="1.0" encoding="utf-8"?>
<ds:datastoreItem xmlns:ds="http://schemas.openxmlformats.org/officeDocument/2006/customXml" ds:itemID="{262DA1E1-19C6-4D8D-9DF4-3F10C6CCA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D1657366-A647-49F6-B715-78D361D64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Frencesco Becchetti dhe të tjerë kundër Shqipërisë</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Frencesco Becchetti dhe të tjerë kundër Shqipërisë</dc:title>
  <dc:creator>Entela Suli</dc:creator>
  <cp:lastModifiedBy>Jonida Zaharia</cp:lastModifiedBy>
  <cp:revision>2</cp:revision>
  <dcterms:created xsi:type="dcterms:W3CDTF">2024-06-07T10:29:00Z</dcterms:created>
  <dcterms:modified xsi:type="dcterms:W3CDTF">2024-06-07T10:29:00Z</dcterms:modified>
</cp:coreProperties>
</file>