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07017" w14:textId="5800443E" w:rsidR="00982BFF" w:rsidRPr="00541B7A" w:rsidRDefault="00982BFF" w:rsidP="004B0267">
      <w:pPr>
        <w:pStyle w:val="DecHTitle"/>
        <w:spacing w:after="0"/>
        <w:rPr>
          <w:rFonts w:ascii="Garamond" w:hAnsi="Garamond"/>
          <w:sz w:val="24"/>
        </w:rPr>
      </w:pPr>
      <w:r w:rsidRPr="00541B7A">
        <w:rPr>
          <w:rFonts w:ascii="Garamond" w:hAnsi="Garamond"/>
          <w:sz w:val="24"/>
        </w:rPr>
        <w:t xml:space="preserve">GJYKATA EVROPIANE E TË DREJTAVE TË NJERIUT </w:t>
      </w:r>
    </w:p>
    <w:p w14:paraId="45BB93EE" w14:textId="77777777" w:rsidR="004B0267" w:rsidRPr="00541B7A" w:rsidRDefault="004B0267" w:rsidP="004B0267">
      <w:pPr>
        <w:pStyle w:val="DecHTitle"/>
        <w:spacing w:after="0"/>
        <w:rPr>
          <w:rFonts w:ascii="Garamond" w:hAnsi="Garamond"/>
          <w:sz w:val="24"/>
        </w:rPr>
      </w:pPr>
      <w:r w:rsidRPr="00541B7A">
        <w:rPr>
          <w:rFonts w:ascii="Garamond" w:hAnsi="Garamond"/>
          <w:sz w:val="24"/>
        </w:rPr>
        <w:t>SEKSIONI I TRETË</w:t>
      </w:r>
    </w:p>
    <w:p w14:paraId="15DF2EE9" w14:textId="77777777" w:rsidR="004B0267" w:rsidRPr="00982BFF" w:rsidRDefault="004B0267" w:rsidP="00A13AD7">
      <w:pPr>
        <w:pStyle w:val="DecHTitle"/>
        <w:spacing w:after="0"/>
        <w:ind w:left="284" w:hanging="284"/>
        <w:rPr>
          <w:rFonts w:ascii="Garamond" w:hAnsi="Garamond"/>
          <w:b/>
          <w:sz w:val="24"/>
        </w:rPr>
      </w:pPr>
    </w:p>
    <w:p w14:paraId="79B521D8" w14:textId="0A4C7163" w:rsidR="00A13AD7" w:rsidRPr="00982BFF" w:rsidRDefault="00A13AD7" w:rsidP="00A13AD7">
      <w:pPr>
        <w:pStyle w:val="DecHTitle"/>
        <w:spacing w:after="0"/>
        <w:ind w:left="284" w:hanging="284"/>
        <w:rPr>
          <w:rFonts w:ascii="Garamond" w:hAnsi="Garamond"/>
          <w:b/>
          <w:sz w:val="24"/>
        </w:rPr>
      </w:pPr>
      <w:r w:rsidRPr="00982BFF">
        <w:rPr>
          <w:rFonts w:ascii="Garamond" w:hAnsi="Garamond"/>
          <w:b/>
          <w:sz w:val="24"/>
        </w:rPr>
        <w:t>VENDIM</w:t>
      </w:r>
    </w:p>
    <w:p w14:paraId="34E051EE" w14:textId="77777777" w:rsidR="00A13AD7" w:rsidRPr="00982BFF" w:rsidRDefault="00A13AD7" w:rsidP="00A13AD7">
      <w:pPr>
        <w:pStyle w:val="NoSpacing"/>
        <w:ind w:left="284" w:hanging="284"/>
        <w:jc w:val="center"/>
        <w:rPr>
          <w:rFonts w:ascii="Garamond" w:hAnsi="Garamond"/>
          <w:i/>
        </w:rPr>
      </w:pPr>
      <w:r w:rsidRPr="00982BFF">
        <w:rPr>
          <w:rFonts w:ascii="Garamond" w:hAnsi="Garamond"/>
          <w:i/>
        </w:rPr>
        <w:t>Kërkesa nr. 12957/15</w:t>
      </w:r>
    </w:p>
    <w:p w14:paraId="1CB3F80C" w14:textId="7BE2BFEF" w:rsidR="00A13AD7" w:rsidRPr="00876FE2" w:rsidRDefault="00A13AD7" w:rsidP="00A13AD7">
      <w:pPr>
        <w:pStyle w:val="NoSpacing"/>
        <w:ind w:left="284" w:hanging="284"/>
        <w:jc w:val="center"/>
        <w:rPr>
          <w:rFonts w:ascii="Garamond" w:hAnsi="Garamond"/>
          <w:b/>
        </w:rPr>
      </w:pPr>
      <w:r w:rsidRPr="00876FE2">
        <w:rPr>
          <w:rFonts w:ascii="Garamond" w:hAnsi="Garamond"/>
          <w:b/>
        </w:rPr>
        <w:t>Muhamet Kerpaci</w:t>
      </w:r>
    </w:p>
    <w:p w14:paraId="3F3F9D01" w14:textId="77777777" w:rsidR="00A13AD7" w:rsidRPr="00982BFF" w:rsidRDefault="00A13AD7" w:rsidP="00A13AD7">
      <w:pPr>
        <w:pStyle w:val="NoSpacing"/>
        <w:ind w:left="284" w:hanging="284"/>
        <w:jc w:val="center"/>
        <w:rPr>
          <w:rFonts w:ascii="Garamond" w:hAnsi="Garamond"/>
          <w:i/>
        </w:rPr>
      </w:pPr>
      <w:r w:rsidRPr="00982BFF">
        <w:rPr>
          <w:rFonts w:ascii="Garamond" w:hAnsi="Garamond"/>
          <w:i/>
        </w:rPr>
        <w:t>kundër Shqipërisë</w:t>
      </w:r>
      <w:r w:rsidRPr="00982BFF">
        <w:rPr>
          <w:rFonts w:ascii="Garamond" w:hAnsi="Garamond"/>
          <w:i/>
        </w:rPr>
        <w:br/>
        <w:t>(shih tabelën bashkëlidhur)</w:t>
      </w:r>
    </w:p>
    <w:p w14:paraId="0677157F" w14:textId="77777777" w:rsidR="00A13AD7" w:rsidRPr="00982BFF" w:rsidRDefault="00A13AD7" w:rsidP="00A13AD7">
      <w:pPr>
        <w:pStyle w:val="NoSpacing"/>
        <w:ind w:left="284" w:hanging="284"/>
        <w:jc w:val="both"/>
        <w:rPr>
          <w:rFonts w:ascii="Garamond" w:hAnsi="Garamond"/>
        </w:rPr>
      </w:pPr>
    </w:p>
    <w:p w14:paraId="51FE00C5" w14:textId="1978CA7F" w:rsidR="00A13AD7" w:rsidRPr="00982BFF" w:rsidRDefault="00A13AD7" w:rsidP="00A13AD7">
      <w:pPr>
        <w:pStyle w:val="JuPara"/>
        <w:rPr>
          <w:rFonts w:ascii="Garamond" w:hAnsi="Garamond"/>
        </w:rPr>
      </w:pPr>
      <w:r w:rsidRPr="00982BFF">
        <w:rPr>
          <w:rFonts w:ascii="Garamond" w:hAnsi="Garamond"/>
        </w:rPr>
        <w:t>Gjykata E</w:t>
      </w:r>
      <w:r w:rsidR="00982BFF">
        <w:rPr>
          <w:rFonts w:ascii="Garamond" w:hAnsi="Garamond"/>
        </w:rPr>
        <w:t>v</w:t>
      </w:r>
      <w:r w:rsidRPr="00982BFF">
        <w:rPr>
          <w:rFonts w:ascii="Garamond" w:hAnsi="Garamond"/>
        </w:rPr>
        <w:t>ropiane e të Drejtave të Njeriut (Seksioni i Tretë)</w:t>
      </w:r>
      <w:r w:rsidR="00982BFF" w:rsidRPr="00982BFF">
        <w:rPr>
          <w:rFonts w:ascii="Garamond" w:hAnsi="Garamond"/>
        </w:rPr>
        <w:t>,</w:t>
      </w:r>
      <w:r w:rsidRPr="00982BFF">
        <w:rPr>
          <w:rFonts w:ascii="Garamond" w:hAnsi="Garamond"/>
        </w:rPr>
        <w:t xml:space="preserve"> e mbledhur më 6 </w:t>
      </w:r>
      <w:r w:rsidR="00982BFF" w:rsidRPr="00982BFF">
        <w:rPr>
          <w:rFonts w:ascii="Garamond" w:hAnsi="Garamond"/>
        </w:rPr>
        <w:t>p</w:t>
      </w:r>
      <w:r w:rsidRPr="00982BFF">
        <w:rPr>
          <w:rFonts w:ascii="Garamond" w:hAnsi="Garamond"/>
        </w:rPr>
        <w:t xml:space="preserve">rill 2023, si Komision, i përbërë nga: </w:t>
      </w:r>
    </w:p>
    <w:p w14:paraId="18706ADF" w14:textId="77531E8F" w:rsidR="00A13AD7" w:rsidRPr="00982BFF" w:rsidRDefault="00A13AD7" w:rsidP="00A13AD7">
      <w:pPr>
        <w:pStyle w:val="JuJudges"/>
        <w:ind w:firstLine="284"/>
        <w:rPr>
          <w:rFonts w:ascii="Garamond" w:hAnsi="Garamond"/>
          <w:i/>
        </w:rPr>
      </w:pPr>
      <w:r w:rsidRPr="00982BFF">
        <w:rPr>
          <w:rFonts w:ascii="Garamond" w:hAnsi="Garamond"/>
        </w:rPr>
        <w:t>Ioannis Ktistakis,</w:t>
      </w:r>
      <w:r w:rsidRPr="00982BFF">
        <w:rPr>
          <w:rFonts w:ascii="Garamond" w:hAnsi="Garamond"/>
          <w:i/>
        </w:rPr>
        <w:t xml:space="preserve"> </w:t>
      </w:r>
      <w:r w:rsidR="008D0E80">
        <w:rPr>
          <w:rFonts w:ascii="Garamond" w:hAnsi="Garamond"/>
          <w:i/>
        </w:rPr>
        <w:t>k</w:t>
      </w:r>
      <w:r w:rsidRPr="00982BFF">
        <w:rPr>
          <w:rFonts w:ascii="Garamond" w:hAnsi="Garamond"/>
          <w:i/>
        </w:rPr>
        <w:t>ryetar,</w:t>
      </w:r>
    </w:p>
    <w:p w14:paraId="14C5577A" w14:textId="77777777" w:rsidR="00723964" w:rsidRDefault="00A13AD7" w:rsidP="00A13AD7">
      <w:pPr>
        <w:pStyle w:val="JuJudges"/>
        <w:ind w:firstLine="284"/>
        <w:rPr>
          <w:rFonts w:ascii="Garamond" w:hAnsi="Garamond"/>
          <w:i/>
        </w:rPr>
      </w:pPr>
      <w:r w:rsidRPr="00982BFF">
        <w:rPr>
          <w:rFonts w:ascii="Garamond" w:hAnsi="Garamond"/>
        </w:rPr>
        <w:t xml:space="preserve">Darian Pavli, </w:t>
      </w:r>
    </w:p>
    <w:p w14:paraId="16E35281" w14:textId="5ECA5FAD" w:rsidR="00A13AD7" w:rsidRPr="00982BFF" w:rsidRDefault="00A13AD7" w:rsidP="00A13AD7">
      <w:pPr>
        <w:pStyle w:val="JuJudges"/>
        <w:ind w:firstLine="284"/>
        <w:rPr>
          <w:rFonts w:ascii="Garamond" w:hAnsi="Garamond"/>
          <w:i/>
        </w:rPr>
      </w:pPr>
      <w:r w:rsidRPr="00982BFF">
        <w:rPr>
          <w:rFonts w:ascii="Garamond" w:hAnsi="Garamond"/>
        </w:rPr>
        <w:t>Oddn</w:t>
      </w:r>
      <w:r w:rsidRPr="00982BFF">
        <w:rPr>
          <w:rFonts w:ascii="Garamond" w:hAnsi="Garamond" w:cstheme="minorHAnsi"/>
        </w:rPr>
        <w:t>ý Mjöll Arnardóttir</w:t>
      </w:r>
      <w:r w:rsidRPr="00982BFF">
        <w:rPr>
          <w:rFonts w:ascii="Garamond" w:hAnsi="Garamond"/>
        </w:rPr>
        <w:t xml:space="preserve">, </w:t>
      </w:r>
      <w:r w:rsidRPr="00982BFF">
        <w:rPr>
          <w:rFonts w:ascii="Garamond" w:hAnsi="Garamond"/>
          <w:i/>
        </w:rPr>
        <w:t>gjyqtarë,</w:t>
      </w:r>
      <w:r w:rsidRPr="00982BFF">
        <w:rPr>
          <w:rFonts w:ascii="Garamond" w:hAnsi="Garamond"/>
        </w:rPr>
        <w:br/>
        <w:t xml:space="preserve">dhe Viktoriya Maradudina, </w:t>
      </w:r>
      <w:r w:rsidR="00982BFF">
        <w:rPr>
          <w:rFonts w:ascii="Garamond" w:hAnsi="Garamond"/>
          <w:i/>
        </w:rPr>
        <w:t>z</w:t>
      </w:r>
      <w:r w:rsidRPr="00982BFF">
        <w:rPr>
          <w:rFonts w:ascii="Garamond" w:hAnsi="Garamond"/>
          <w:i/>
        </w:rPr>
        <w:t xml:space="preserve">ëvendësregjistrare e </w:t>
      </w:r>
      <w:r w:rsidR="00982BFF">
        <w:rPr>
          <w:rFonts w:ascii="Garamond" w:hAnsi="Garamond"/>
          <w:i/>
        </w:rPr>
        <w:t>p</w:t>
      </w:r>
      <w:r w:rsidRPr="00982BFF">
        <w:rPr>
          <w:rFonts w:ascii="Garamond" w:hAnsi="Garamond"/>
          <w:i/>
        </w:rPr>
        <w:t xml:space="preserve">ërkohshme e Seksionit,   </w:t>
      </w:r>
    </w:p>
    <w:p w14:paraId="1B2C86CE" w14:textId="4A152A65" w:rsidR="00A13AD7" w:rsidRPr="00982BFF" w:rsidRDefault="00A128DF" w:rsidP="00A13AD7">
      <w:pPr>
        <w:pStyle w:val="JuJudges"/>
        <w:ind w:firstLine="284"/>
        <w:rPr>
          <w:rFonts w:ascii="Garamond" w:hAnsi="Garamond"/>
        </w:rPr>
      </w:pPr>
      <w:r>
        <w:rPr>
          <w:rFonts w:ascii="Garamond" w:hAnsi="Garamond"/>
        </w:rPr>
        <w:t>p</w:t>
      </w:r>
      <w:r w:rsidR="00A13AD7" w:rsidRPr="00982BFF">
        <w:rPr>
          <w:rFonts w:ascii="Garamond" w:hAnsi="Garamond"/>
        </w:rPr>
        <w:t xml:space="preserve">asi morën në konsideratë kërkesën e mësipërme paraqitur më 18 </w:t>
      </w:r>
      <w:r w:rsidR="002959B6">
        <w:rPr>
          <w:rFonts w:ascii="Garamond" w:hAnsi="Garamond"/>
        </w:rPr>
        <w:t>p</w:t>
      </w:r>
      <w:r w:rsidR="00A13AD7" w:rsidRPr="00982BFF">
        <w:rPr>
          <w:rFonts w:ascii="Garamond" w:hAnsi="Garamond"/>
        </w:rPr>
        <w:t>rill 2015,</w:t>
      </w:r>
    </w:p>
    <w:p w14:paraId="65B89ADC" w14:textId="39F8143D" w:rsidR="00A13AD7" w:rsidRPr="00982BFF" w:rsidRDefault="00A128DF" w:rsidP="00A13AD7">
      <w:pPr>
        <w:pStyle w:val="JuPara"/>
        <w:rPr>
          <w:rFonts w:ascii="Garamond" w:hAnsi="Garamond"/>
        </w:rPr>
      </w:pPr>
      <w:r>
        <w:rPr>
          <w:rFonts w:ascii="Garamond" w:hAnsi="Garamond"/>
        </w:rPr>
        <w:t>d</w:t>
      </w:r>
      <w:r w:rsidR="00A13AD7" w:rsidRPr="00982BFF">
        <w:rPr>
          <w:rFonts w:ascii="Garamond" w:hAnsi="Garamond"/>
        </w:rPr>
        <w:t>uke marrë në konsideratë deklaratat formale sipas së cilave pranohej një zgjidhje miqësore e çështjes,</w:t>
      </w:r>
    </w:p>
    <w:p w14:paraId="2195C210" w14:textId="49AEE9AD" w:rsidR="00A13AD7" w:rsidRPr="00982BFF" w:rsidRDefault="00A128DF" w:rsidP="00A13AD7">
      <w:pPr>
        <w:pStyle w:val="JuPara"/>
        <w:rPr>
          <w:rFonts w:ascii="Garamond" w:hAnsi="Garamond"/>
        </w:rPr>
      </w:pPr>
      <w:r>
        <w:rPr>
          <w:rFonts w:ascii="Garamond" w:hAnsi="Garamond"/>
        </w:rPr>
        <w:t>p</w:t>
      </w:r>
      <w:r w:rsidR="00A13AD7" w:rsidRPr="00982BFF">
        <w:rPr>
          <w:rFonts w:ascii="Garamond" w:hAnsi="Garamond"/>
        </w:rPr>
        <w:t xml:space="preserve">asi diskutoi, vendos si më poshtë: </w:t>
      </w:r>
    </w:p>
    <w:p w14:paraId="5CBFB108" w14:textId="77777777" w:rsidR="00A13AD7" w:rsidRPr="00982BFF" w:rsidRDefault="00A13AD7" w:rsidP="00A13AD7">
      <w:pPr>
        <w:pStyle w:val="JuPara"/>
        <w:rPr>
          <w:rFonts w:ascii="Garamond" w:hAnsi="Garamond"/>
        </w:rPr>
      </w:pPr>
      <w:r w:rsidRPr="00982BFF">
        <w:rPr>
          <w:rFonts w:ascii="Garamond" w:hAnsi="Garamond"/>
        </w:rPr>
        <w:t xml:space="preserve">FAKTET DHE PROCEDURA </w:t>
      </w:r>
    </w:p>
    <w:p w14:paraId="6FE3DBE5" w14:textId="77777777" w:rsidR="00A13AD7" w:rsidRPr="00982BFF" w:rsidRDefault="00A13AD7" w:rsidP="00A13AD7">
      <w:pPr>
        <w:pStyle w:val="JuPara"/>
        <w:rPr>
          <w:rFonts w:ascii="Garamond" w:hAnsi="Garamond"/>
        </w:rPr>
      </w:pPr>
      <w:r w:rsidRPr="00982BFF">
        <w:rPr>
          <w:rFonts w:ascii="Garamond" w:hAnsi="Garamond"/>
        </w:rPr>
        <w:t xml:space="preserve">Detajet e kërkuesit janë paraqitur në tabelën bashkëlidhur. </w:t>
      </w:r>
    </w:p>
    <w:p w14:paraId="1377DF33" w14:textId="284FE51A" w:rsidR="00A13AD7" w:rsidRPr="00982BFF" w:rsidRDefault="00A13AD7" w:rsidP="00A13AD7">
      <w:pPr>
        <w:pStyle w:val="JuPara"/>
        <w:rPr>
          <w:rFonts w:ascii="Garamond" w:hAnsi="Garamond"/>
        </w:rPr>
      </w:pPr>
      <w:r w:rsidRPr="00982BFF">
        <w:rPr>
          <w:rFonts w:ascii="Garamond" w:hAnsi="Garamond"/>
        </w:rPr>
        <w:t xml:space="preserve">Qeverisë shqiptare (“Qeveria”) iu komunikuan ankesat e kërkuesit në mbështetje të </w:t>
      </w:r>
      <w:r w:rsidR="009E42A5">
        <w:rPr>
          <w:rFonts w:ascii="Garamond" w:hAnsi="Garamond"/>
        </w:rPr>
        <w:t>n</w:t>
      </w:r>
      <w:r w:rsidRPr="00982BFF">
        <w:rPr>
          <w:rFonts w:ascii="Garamond" w:hAnsi="Garamond"/>
        </w:rPr>
        <w:t>enit 6</w:t>
      </w:r>
      <w:r w:rsidRPr="00982BFF">
        <w:rPr>
          <w:rFonts w:ascii="Garamond" w:hAnsi="Garamond" w:cstheme="minorHAnsi"/>
        </w:rPr>
        <w:t>§</w:t>
      </w:r>
      <w:r w:rsidRPr="00982BFF">
        <w:rPr>
          <w:rFonts w:ascii="Garamond" w:hAnsi="Garamond"/>
        </w:rPr>
        <w:t xml:space="preserve">1 dhe </w:t>
      </w:r>
      <w:r w:rsidR="009E42A5">
        <w:rPr>
          <w:rFonts w:ascii="Garamond" w:hAnsi="Garamond"/>
        </w:rPr>
        <w:t>n</w:t>
      </w:r>
      <w:r w:rsidRPr="00982BFF">
        <w:rPr>
          <w:rFonts w:ascii="Garamond" w:hAnsi="Garamond"/>
        </w:rPr>
        <w:t xml:space="preserve">enit 13 të Konventës në lidhje me kohëzgjatjen e tepërt të procedurave civile dhe mungesën e zgjidhjes efektive. </w:t>
      </w:r>
    </w:p>
    <w:p w14:paraId="78BA5681" w14:textId="2A57C9CC" w:rsidR="00A13AD7" w:rsidRPr="00982BFF" w:rsidRDefault="00A13AD7" w:rsidP="00A13AD7">
      <w:pPr>
        <w:pStyle w:val="JuPara"/>
        <w:rPr>
          <w:rFonts w:ascii="Garamond" w:hAnsi="Garamond"/>
        </w:rPr>
      </w:pPr>
      <w:r w:rsidRPr="00982BFF">
        <w:rPr>
          <w:rFonts w:ascii="Garamond" w:hAnsi="Garamond"/>
        </w:rPr>
        <w:t xml:space="preserve">Gjykata mori deklaratat për zgjidhjen miqësore të nënshkruara nga palët, sipas </w:t>
      </w:r>
      <w:r w:rsidR="009E42A5">
        <w:rPr>
          <w:rFonts w:ascii="Garamond" w:hAnsi="Garamond"/>
        </w:rPr>
        <w:t>t</w:t>
      </w:r>
      <w:r w:rsidRPr="00982BFF">
        <w:rPr>
          <w:rFonts w:ascii="Garamond" w:hAnsi="Garamond"/>
        </w:rPr>
        <w:t xml:space="preserve">ë cilave kërkuesi binte dakord të hiqte dorë nga pretendime të tjera ndaj Shqipërisë në lidhje me faktet që çuan në këtë kërkesë, pas angazhimit të Qeverisë për t’i paguar atij shumën e detajuar në tabelën bashkëlidhur. Kjo shumë do të konvertohet në monedhën e </w:t>
      </w:r>
      <w:r w:rsidR="00960C9A">
        <w:rPr>
          <w:rFonts w:ascii="Garamond" w:hAnsi="Garamond"/>
        </w:rPr>
        <w:t>s</w:t>
      </w:r>
      <w:r w:rsidRPr="00982BFF">
        <w:rPr>
          <w:rFonts w:ascii="Garamond" w:hAnsi="Garamond"/>
        </w:rPr>
        <w:t xml:space="preserve">htetit përgjegjës në normën e zbatueshme në datën e pagesës, dhe do të duhet të shlyhet brenda tre muajve nga data e shpalljes së vendimit të Gjykatës. Në rast se kjo shumë nuk paguhet brenda periudhës tremujore përmendur më sipër, Qeveria merr përsipër të paguajë interesin e thjeshtë ndaj saj, nga përfundimi i periudhës deri në shlyerje, në një normë të barabartë me normën margjinale të huadhënies së Bankës Qendrore Evropiane gjatë periudhës së vonesës plus tre për qind pikë. </w:t>
      </w:r>
    </w:p>
    <w:p w14:paraId="1F958ECC" w14:textId="77777777" w:rsidR="00A13AD7" w:rsidRPr="00982BFF" w:rsidRDefault="00A13AD7" w:rsidP="00A13AD7">
      <w:pPr>
        <w:pStyle w:val="JuPara"/>
        <w:rPr>
          <w:rFonts w:ascii="Garamond" w:hAnsi="Garamond"/>
        </w:rPr>
      </w:pPr>
      <w:r w:rsidRPr="00982BFF">
        <w:rPr>
          <w:rFonts w:ascii="Garamond" w:hAnsi="Garamond"/>
        </w:rPr>
        <w:t xml:space="preserve">Pagesa do të jetë zgjidhja përfundimtare e çështjes. </w:t>
      </w:r>
    </w:p>
    <w:p w14:paraId="10DFBE33" w14:textId="77777777" w:rsidR="00A13AD7" w:rsidRPr="00982BFF" w:rsidRDefault="00A13AD7" w:rsidP="00A13AD7">
      <w:pPr>
        <w:pStyle w:val="JuPara"/>
        <w:rPr>
          <w:rFonts w:ascii="Garamond" w:hAnsi="Garamond" w:cstheme="minorHAnsi"/>
        </w:rPr>
      </w:pPr>
      <w:r w:rsidRPr="00982BFF">
        <w:rPr>
          <w:rFonts w:ascii="Garamond" w:hAnsi="Garamond" w:cstheme="minorHAnsi"/>
        </w:rPr>
        <w:t>LIGJI</w:t>
      </w:r>
    </w:p>
    <w:p w14:paraId="2705E2F4" w14:textId="1EAE10E5" w:rsidR="00A13AD7" w:rsidRPr="00982BFF" w:rsidRDefault="00A13AD7" w:rsidP="00A13AD7">
      <w:pPr>
        <w:pStyle w:val="JuPara"/>
        <w:rPr>
          <w:rFonts w:ascii="Garamond" w:hAnsi="Garamond" w:cstheme="minorHAnsi"/>
        </w:rPr>
      </w:pPr>
      <w:r w:rsidRPr="00982BFF">
        <w:rPr>
          <w:rFonts w:ascii="Garamond" w:hAnsi="Garamond" w:cstheme="minorHAnsi"/>
        </w:rPr>
        <w:t xml:space="preserve">Gjykata mban në konsideratë zgjidhjen miqësore të arritur midis palëve. Ajo gjykon se zgjidhja mbështetet në respektin për të drejtat e njeriut sipas parashikimeve në Konventë dhe të </w:t>
      </w:r>
      <w:r w:rsidR="00BC0C3F">
        <w:rPr>
          <w:rFonts w:ascii="Garamond" w:hAnsi="Garamond" w:cstheme="minorHAnsi"/>
        </w:rPr>
        <w:t>p</w:t>
      </w:r>
      <w:r w:rsidRPr="00982BFF">
        <w:rPr>
          <w:rFonts w:ascii="Garamond" w:hAnsi="Garamond" w:cstheme="minorHAnsi"/>
        </w:rPr>
        <w:t xml:space="preserve">rotokolleve të saj, dhe nuk gjen arsye për të justifikuar shqyrtimin e mëtejshëm të kërkesës. </w:t>
      </w:r>
    </w:p>
    <w:p w14:paraId="27E060D1" w14:textId="77777777" w:rsidR="00A13AD7" w:rsidRPr="00982BFF" w:rsidRDefault="00A13AD7" w:rsidP="00A13AD7">
      <w:pPr>
        <w:pStyle w:val="JuPara"/>
        <w:rPr>
          <w:rFonts w:ascii="Garamond" w:hAnsi="Garamond" w:cstheme="minorHAnsi"/>
        </w:rPr>
      </w:pPr>
      <w:r w:rsidRPr="00982BFF">
        <w:rPr>
          <w:rFonts w:ascii="Garamond" w:hAnsi="Garamond" w:cstheme="minorHAnsi"/>
        </w:rPr>
        <w:t xml:space="preserve">Për sa më sipër, është e drejtë që çështja të çregjistrohet nga lista. </w:t>
      </w:r>
    </w:p>
    <w:p w14:paraId="1AC37C7F" w14:textId="77777777" w:rsidR="00A13AD7" w:rsidRPr="00982BFF" w:rsidRDefault="00A13AD7" w:rsidP="00A13AD7">
      <w:pPr>
        <w:pStyle w:val="JuPara"/>
        <w:rPr>
          <w:rFonts w:ascii="Garamond" w:hAnsi="Garamond" w:cstheme="minorHAnsi"/>
        </w:rPr>
      </w:pPr>
      <w:r w:rsidRPr="00982BFF">
        <w:rPr>
          <w:rFonts w:ascii="Garamond" w:hAnsi="Garamond" w:cstheme="minorHAnsi"/>
        </w:rPr>
        <w:t xml:space="preserve">Për këto arsye, Gjykata, në mënyrë anonime, </w:t>
      </w:r>
    </w:p>
    <w:p w14:paraId="05BD807A" w14:textId="5F795FF0" w:rsidR="00A13AD7" w:rsidRPr="00982BFF" w:rsidRDefault="00A13AD7" w:rsidP="00A13AD7">
      <w:pPr>
        <w:pStyle w:val="JuPara"/>
        <w:rPr>
          <w:rFonts w:ascii="Garamond" w:hAnsi="Garamond" w:cstheme="minorHAnsi"/>
        </w:rPr>
      </w:pPr>
      <w:r w:rsidRPr="00982BFF">
        <w:rPr>
          <w:rFonts w:ascii="Garamond" w:hAnsi="Garamond" w:cstheme="minorHAnsi"/>
          <w:i/>
          <w:iCs/>
        </w:rPr>
        <w:t xml:space="preserve">Vendos </w:t>
      </w:r>
      <w:r w:rsidRPr="00982BFF">
        <w:rPr>
          <w:rFonts w:ascii="Garamond" w:hAnsi="Garamond" w:cstheme="minorHAnsi"/>
        </w:rPr>
        <w:t xml:space="preserve">të çregjistrojë kërkesën nga lista e saj e çështjeve në mbështetje të </w:t>
      </w:r>
      <w:r w:rsidR="009E42A5">
        <w:rPr>
          <w:rFonts w:ascii="Garamond" w:hAnsi="Garamond" w:cstheme="minorHAnsi"/>
        </w:rPr>
        <w:t>n</w:t>
      </w:r>
      <w:r w:rsidRPr="00982BFF">
        <w:rPr>
          <w:rFonts w:ascii="Garamond" w:hAnsi="Garamond" w:cstheme="minorHAnsi"/>
        </w:rPr>
        <w:t xml:space="preserve">enit 39 të Konventës. </w:t>
      </w:r>
    </w:p>
    <w:p w14:paraId="79B59EBC" w14:textId="6927FFA4" w:rsidR="00A13AD7" w:rsidRPr="00982BFF" w:rsidRDefault="00A13AD7" w:rsidP="00A13AD7">
      <w:pPr>
        <w:pStyle w:val="JuPara"/>
        <w:rPr>
          <w:rFonts w:ascii="Garamond" w:hAnsi="Garamond"/>
        </w:rPr>
      </w:pPr>
      <w:r w:rsidRPr="00982BFF">
        <w:rPr>
          <w:rFonts w:ascii="Garamond" w:hAnsi="Garamond" w:cstheme="minorHAnsi"/>
        </w:rPr>
        <w:t>H</w:t>
      </w:r>
      <w:r w:rsidRPr="00982BFF">
        <w:rPr>
          <w:rFonts w:ascii="Garamond" w:hAnsi="Garamond"/>
        </w:rPr>
        <w:t xml:space="preserve">artuar në anglisht dhe njoftuar me shkrim, më 11 </w:t>
      </w:r>
      <w:r w:rsidR="009E42A5">
        <w:rPr>
          <w:rFonts w:ascii="Garamond" w:hAnsi="Garamond"/>
        </w:rPr>
        <w:t>m</w:t>
      </w:r>
      <w:r w:rsidRPr="00982BFF">
        <w:rPr>
          <w:rFonts w:ascii="Garamond" w:hAnsi="Garamond"/>
        </w:rPr>
        <w:t xml:space="preserve">aj 2023. </w:t>
      </w:r>
    </w:p>
    <w:p w14:paraId="47977919" w14:textId="77777777" w:rsidR="00A13AD7" w:rsidRPr="00982BFF" w:rsidRDefault="00A13AD7" w:rsidP="00A13AD7">
      <w:pPr>
        <w:pStyle w:val="JuPara"/>
        <w:rPr>
          <w:rFonts w:ascii="Garamond" w:hAnsi="Garamond"/>
        </w:rPr>
      </w:pPr>
    </w:p>
    <w:p w14:paraId="190D9604" w14:textId="3000EE4C" w:rsidR="00A13AD7" w:rsidRPr="00982BFF" w:rsidRDefault="00C44A4F" w:rsidP="00A13AD7">
      <w:pPr>
        <w:pStyle w:val="JuPara"/>
        <w:rPr>
          <w:rFonts w:ascii="Garamond" w:hAnsi="Garamond"/>
          <w:b/>
        </w:rPr>
      </w:pPr>
      <w:r w:rsidRPr="00982BFF">
        <w:rPr>
          <w:rFonts w:ascii="Garamond" w:hAnsi="Garamond"/>
          <w:b/>
        </w:rPr>
        <w:t xml:space="preserve">      Viktoriya Maradudina </w:t>
      </w:r>
      <w:r w:rsidRPr="00982BFF">
        <w:rPr>
          <w:rFonts w:ascii="Garamond" w:hAnsi="Garamond"/>
          <w:b/>
        </w:rPr>
        <w:tab/>
      </w:r>
      <w:r w:rsidRPr="00982BFF">
        <w:rPr>
          <w:rFonts w:ascii="Garamond" w:hAnsi="Garamond"/>
          <w:b/>
        </w:rPr>
        <w:tab/>
      </w:r>
      <w:r w:rsidR="00A13AD7" w:rsidRPr="00982BFF">
        <w:rPr>
          <w:rFonts w:ascii="Garamond" w:hAnsi="Garamond"/>
          <w:b/>
        </w:rPr>
        <w:t>Ioannis Ktistakis</w:t>
      </w:r>
    </w:p>
    <w:p w14:paraId="3940DA71" w14:textId="6BF1AC81" w:rsidR="00A13AD7" w:rsidRPr="00982BFF" w:rsidRDefault="00A13AD7" w:rsidP="00A13AD7">
      <w:pPr>
        <w:pStyle w:val="JuPara"/>
        <w:rPr>
          <w:rFonts w:ascii="Garamond" w:hAnsi="Garamond"/>
        </w:rPr>
      </w:pPr>
      <w:r w:rsidRPr="00982BFF">
        <w:rPr>
          <w:rFonts w:ascii="Garamond" w:hAnsi="Garamond"/>
        </w:rPr>
        <w:t>Zëvendës</w:t>
      </w:r>
      <w:r w:rsidR="00593F5E">
        <w:rPr>
          <w:rFonts w:ascii="Garamond" w:hAnsi="Garamond"/>
        </w:rPr>
        <w:t>r</w:t>
      </w:r>
      <w:r w:rsidRPr="00982BFF">
        <w:rPr>
          <w:rFonts w:ascii="Garamond" w:hAnsi="Garamond"/>
        </w:rPr>
        <w:t xml:space="preserve">egjistrare e </w:t>
      </w:r>
      <w:r w:rsidR="00593F5E">
        <w:rPr>
          <w:rFonts w:ascii="Garamond" w:hAnsi="Garamond"/>
        </w:rPr>
        <w:t>p</w:t>
      </w:r>
      <w:r w:rsidRPr="00982BFF">
        <w:rPr>
          <w:rFonts w:ascii="Garamond" w:hAnsi="Garamond"/>
        </w:rPr>
        <w:t>ërkohshme</w:t>
      </w:r>
      <w:r w:rsidRPr="00982BFF">
        <w:rPr>
          <w:rFonts w:ascii="Garamond" w:hAnsi="Garamond"/>
        </w:rPr>
        <w:tab/>
      </w:r>
      <w:r w:rsidRPr="00982BFF">
        <w:rPr>
          <w:rFonts w:ascii="Garamond" w:hAnsi="Garamond"/>
        </w:rPr>
        <w:tab/>
        <w:t xml:space="preserve">Kryetar </w:t>
      </w:r>
    </w:p>
    <w:p w14:paraId="12DFC245" w14:textId="77777777" w:rsidR="00C667B0" w:rsidRPr="00982BFF" w:rsidRDefault="00C667B0" w:rsidP="00A13AD7">
      <w:pPr>
        <w:pStyle w:val="JuPara"/>
        <w:rPr>
          <w:rFonts w:ascii="Garamond" w:hAnsi="Garamond"/>
        </w:rPr>
      </w:pPr>
    </w:p>
    <w:p w14:paraId="0B84A981" w14:textId="77777777" w:rsidR="00C44A4F" w:rsidRPr="00982BFF" w:rsidRDefault="00C44A4F" w:rsidP="00C667B0">
      <w:pPr>
        <w:pStyle w:val="JuPara"/>
        <w:jc w:val="center"/>
        <w:rPr>
          <w:rFonts w:ascii="Garamond" w:hAnsi="Garamond"/>
        </w:rPr>
      </w:pPr>
    </w:p>
    <w:p w14:paraId="7B676937" w14:textId="77777777" w:rsidR="00C44A4F" w:rsidRPr="00982BFF" w:rsidRDefault="00C44A4F" w:rsidP="00C667B0">
      <w:pPr>
        <w:pStyle w:val="JuPara"/>
        <w:jc w:val="center"/>
        <w:rPr>
          <w:rFonts w:ascii="Garamond" w:hAnsi="Garamond"/>
        </w:rPr>
      </w:pPr>
    </w:p>
    <w:p w14:paraId="493C5B64" w14:textId="77777777" w:rsidR="00C44A4F" w:rsidRPr="00982BFF" w:rsidRDefault="00C44A4F" w:rsidP="00C667B0">
      <w:pPr>
        <w:pStyle w:val="JuPara"/>
        <w:jc w:val="center"/>
        <w:rPr>
          <w:rFonts w:ascii="Garamond" w:hAnsi="Garamond"/>
        </w:rPr>
      </w:pPr>
    </w:p>
    <w:p w14:paraId="74882A5A" w14:textId="77777777" w:rsidR="00C667B0" w:rsidRPr="00982BFF" w:rsidRDefault="00C667B0" w:rsidP="00C667B0">
      <w:pPr>
        <w:pStyle w:val="JuPara"/>
        <w:jc w:val="center"/>
        <w:rPr>
          <w:rFonts w:ascii="Garamond" w:hAnsi="Garamond"/>
        </w:rPr>
      </w:pPr>
      <w:r w:rsidRPr="00982BFF">
        <w:rPr>
          <w:rFonts w:ascii="Garamond" w:hAnsi="Garamond"/>
        </w:rPr>
        <w:t xml:space="preserve">SHTOJCË </w:t>
      </w:r>
    </w:p>
    <w:p w14:paraId="3E7D4B2A" w14:textId="3F039AB8" w:rsidR="00C667B0" w:rsidRPr="00593F5E" w:rsidRDefault="00C667B0" w:rsidP="00C667B0">
      <w:pPr>
        <w:pStyle w:val="JuPara"/>
        <w:jc w:val="center"/>
        <w:rPr>
          <w:rFonts w:ascii="Garamond" w:hAnsi="Garamond" w:cstheme="minorHAnsi"/>
          <w:i/>
        </w:rPr>
      </w:pPr>
      <w:r w:rsidRPr="00593F5E">
        <w:rPr>
          <w:rFonts w:ascii="Garamond" w:hAnsi="Garamond"/>
          <w:i/>
        </w:rPr>
        <w:t xml:space="preserve">Kërkesa që paraqet ankesat e bëra në mbështetje të </w:t>
      </w:r>
      <w:r w:rsidR="00593F5E" w:rsidRPr="00593F5E">
        <w:rPr>
          <w:rFonts w:ascii="Garamond" w:hAnsi="Garamond"/>
          <w:i/>
        </w:rPr>
        <w:t>n</w:t>
      </w:r>
      <w:r w:rsidRPr="00593F5E">
        <w:rPr>
          <w:rFonts w:ascii="Garamond" w:hAnsi="Garamond"/>
          <w:i/>
        </w:rPr>
        <w:t xml:space="preserve">enit 6 </w:t>
      </w:r>
      <w:r w:rsidRPr="00593F5E">
        <w:rPr>
          <w:rFonts w:ascii="Garamond" w:hAnsi="Garamond" w:cstheme="minorHAnsi"/>
          <w:i/>
        </w:rPr>
        <w:t>§ 1 të Konventës</w:t>
      </w:r>
    </w:p>
    <w:p w14:paraId="67B959D4" w14:textId="77777777" w:rsidR="00C667B0" w:rsidRPr="00593F5E" w:rsidRDefault="00C667B0" w:rsidP="00C667B0">
      <w:pPr>
        <w:pStyle w:val="JuPara"/>
        <w:jc w:val="center"/>
        <w:rPr>
          <w:rFonts w:ascii="Garamond" w:hAnsi="Garamond" w:cstheme="minorHAnsi"/>
          <w:i/>
        </w:rPr>
      </w:pPr>
      <w:r w:rsidRPr="00593F5E">
        <w:rPr>
          <w:rFonts w:ascii="Garamond" w:hAnsi="Garamond" w:cstheme="minorHAnsi"/>
          <w:i/>
        </w:rPr>
        <w:t>(kohëzgjatje e tepërt e procedurave civile)</w:t>
      </w:r>
    </w:p>
    <w:p w14:paraId="4CB81679" w14:textId="77777777" w:rsidR="00C667B0" w:rsidRPr="00982BFF" w:rsidRDefault="00C667B0" w:rsidP="00C667B0">
      <w:pPr>
        <w:pStyle w:val="JuPara"/>
        <w:jc w:val="center"/>
        <w:rPr>
          <w:rFonts w:ascii="Garamond" w:hAnsi="Garamond" w:cstheme="minorHAnsi"/>
        </w:rPr>
      </w:pPr>
    </w:p>
    <w:tbl>
      <w:tblPr>
        <w:tblStyle w:val="TableGrid"/>
        <w:tblW w:w="5000" w:type="pct"/>
        <w:jc w:val="center"/>
        <w:tblLook w:val="04A0" w:firstRow="1" w:lastRow="0" w:firstColumn="1" w:lastColumn="0" w:noHBand="0" w:noVBand="1"/>
      </w:tblPr>
      <w:tblGrid>
        <w:gridCol w:w="1247"/>
        <w:gridCol w:w="1915"/>
        <w:gridCol w:w="1854"/>
        <w:gridCol w:w="1691"/>
        <w:gridCol w:w="1532"/>
        <w:gridCol w:w="1337"/>
      </w:tblGrid>
      <w:tr w:rsidR="00C667B0" w:rsidRPr="00982BFF" w14:paraId="2357BC03" w14:textId="77777777" w:rsidTr="00C667B0">
        <w:trPr>
          <w:jc w:val="center"/>
        </w:trPr>
        <w:tc>
          <w:tcPr>
            <w:tcW w:w="651" w:type="pct"/>
          </w:tcPr>
          <w:p w14:paraId="4D42EE7B" w14:textId="77777777" w:rsidR="00C667B0" w:rsidRPr="00982BFF" w:rsidRDefault="00C667B0" w:rsidP="00C667B0">
            <w:pPr>
              <w:pStyle w:val="JuPara"/>
              <w:ind w:firstLine="0"/>
              <w:jc w:val="center"/>
              <w:rPr>
                <w:rFonts w:ascii="Garamond" w:hAnsi="Garamond"/>
                <w:b/>
                <w:bCs/>
                <w:sz w:val="20"/>
                <w:szCs w:val="20"/>
              </w:rPr>
            </w:pPr>
            <w:r w:rsidRPr="00982BFF">
              <w:rPr>
                <w:rFonts w:ascii="Garamond" w:hAnsi="Garamond"/>
                <w:b/>
                <w:bCs/>
                <w:sz w:val="20"/>
                <w:szCs w:val="20"/>
              </w:rPr>
              <w:t xml:space="preserve">Kërkesa nr. </w:t>
            </w:r>
          </w:p>
          <w:p w14:paraId="1BC3CC50" w14:textId="77777777" w:rsidR="00C667B0" w:rsidRPr="00982BFF" w:rsidRDefault="00C667B0" w:rsidP="00C667B0">
            <w:pPr>
              <w:pStyle w:val="JuPara"/>
              <w:ind w:firstLine="0"/>
              <w:jc w:val="center"/>
              <w:rPr>
                <w:rFonts w:ascii="Garamond" w:hAnsi="Garamond"/>
                <w:sz w:val="20"/>
                <w:szCs w:val="20"/>
              </w:rPr>
            </w:pPr>
            <w:r w:rsidRPr="00982BFF">
              <w:rPr>
                <w:rFonts w:ascii="Garamond" w:hAnsi="Garamond"/>
                <w:b/>
                <w:bCs/>
                <w:sz w:val="20"/>
                <w:szCs w:val="20"/>
              </w:rPr>
              <w:t>Data e paraqitjes</w:t>
            </w:r>
            <w:r w:rsidRPr="00982BFF">
              <w:rPr>
                <w:rFonts w:ascii="Garamond" w:hAnsi="Garamond"/>
                <w:sz w:val="20"/>
                <w:szCs w:val="20"/>
              </w:rPr>
              <w:t xml:space="preserve"> </w:t>
            </w:r>
          </w:p>
        </w:tc>
        <w:tc>
          <w:tcPr>
            <w:tcW w:w="1000" w:type="pct"/>
          </w:tcPr>
          <w:p w14:paraId="4181D48E" w14:textId="77777777" w:rsidR="00C667B0" w:rsidRPr="00982BFF" w:rsidRDefault="00C667B0" w:rsidP="00C667B0">
            <w:pPr>
              <w:pStyle w:val="JuPara"/>
              <w:ind w:firstLine="0"/>
              <w:jc w:val="center"/>
              <w:rPr>
                <w:rFonts w:ascii="Garamond" w:hAnsi="Garamond"/>
                <w:b/>
                <w:bCs/>
                <w:sz w:val="20"/>
                <w:szCs w:val="20"/>
              </w:rPr>
            </w:pPr>
            <w:r w:rsidRPr="00982BFF">
              <w:rPr>
                <w:rFonts w:ascii="Garamond" w:hAnsi="Garamond"/>
                <w:b/>
                <w:bCs/>
                <w:sz w:val="20"/>
                <w:szCs w:val="20"/>
              </w:rPr>
              <w:t xml:space="preserve">Emri i kërkuesit </w:t>
            </w:r>
          </w:p>
          <w:p w14:paraId="2CC42DF8" w14:textId="77777777" w:rsidR="00C667B0" w:rsidRPr="00982BFF" w:rsidRDefault="00C667B0" w:rsidP="00C667B0">
            <w:pPr>
              <w:pStyle w:val="JuPara"/>
              <w:ind w:firstLine="0"/>
              <w:jc w:val="center"/>
              <w:rPr>
                <w:rFonts w:ascii="Garamond" w:hAnsi="Garamond"/>
                <w:sz w:val="20"/>
                <w:szCs w:val="20"/>
              </w:rPr>
            </w:pPr>
            <w:r w:rsidRPr="00982BFF">
              <w:rPr>
                <w:rFonts w:ascii="Garamond" w:hAnsi="Garamond"/>
                <w:b/>
                <w:bCs/>
                <w:sz w:val="20"/>
                <w:szCs w:val="20"/>
              </w:rPr>
              <w:t>Viti i lindjes</w:t>
            </w:r>
          </w:p>
        </w:tc>
        <w:tc>
          <w:tcPr>
            <w:tcW w:w="968" w:type="pct"/>
          </w:tcPr>
          <w:p w14:paraId="7D244986" w14:textId="77777777" w:rsidR="00C667B0" w:rsidRPr="00982BFF" w:rsidRDefault="00C667B0" w:rsidP="00C667B0">
            <w:pPr>
              <w:pStyle w:val="JuPara"/>
              <w:ind w:firstLine="0"/>
              <w:jc w:val="center"/>
              <w:rPr>
                <w:rFonts w:ascii="Garamond" w:hAnsi="Garamond"/>
                <w:b/>
                <w:bCs/>
                <w:sz w:val="20"/>
                <w:szCs w:val="20"/>
              </w:rPr>
            </w:pPr>
            <w:r w:rsidRPr="00982BFF">
              <w:rPr>
                <w:rFonts w:ascii="Garamond" w:hAnsi="Garamond"/>
                <w:b/>
                <w:bCs/>
                <w:sz w:val="20"/>
                <w:szCs w:val="20"/>
              </w:rPr>
              <w:t>Ankesa të tjera sipas praktikës gjyqësore të konfirmuar</w:t>
            </w:r>
          </w:p>
        </w:tc>
        <w:tc>
          <w:tcPr>
            <w:tcW w:w="883" w:type="pct"/>
          </w:tcPr>
          <w:p w14:paraId="74258FFD" w14:textId="77777777" w:rsidR="00C667B0" w:rsidRPr="00982BFF" w:rsidRDefault="00C667B0" w:rsidP="00C667B0">
            <w:pPr>
              <w:pStyle w:val="JuPara"/>
              <w:ind w:firstLine="0"/>
              <w:jc w:val="center"/>
              <w:rPr>
                <w:rFonts w:ascii="Garamond" w:hAnsi="Garamond"/>
                <w:b/>
                <w:bCs/>
                <w:sz w:val="20"/>
                <w:szCs w:val="20"/>
              </w:rPr>
            </w:pPr>
            <w:r w:rsidRPr="00982BFF">
              <w:rPr>
                <w:rFonts w:ascii="Garamond" w:hAnsi="Garamond"/>
                <w:b/>
                <w:bCs/>
                <w:sz w:val="20"/>
                <w:szCs w:val="20"/>
              </w:rPr>
              <w:t>Data e marrjes së deklaratës së Qeverisë</w:t>
            </w:r>
          </w:p>
        </w:tc>
        <w:tc>
          <w:tcPr>
            <w:tcW w:w="800" w:type="pct"/>
          </w:tcPr>
          <w:p w14:paraId="6011D5EB" w14:textId="77777777" w:rsidR="00C667B0" w:rsidRPr="00982BFF" w:rsidRDefault="00C667B0" w:rsidP="00C667B0">
            <w:pPr>
              <w:pStyle w:val="JuPara"/>
              <w:ind w:firstLine="0"/>
              <w:jc w:val="center"/>
              <w:rPr>
                <w:rFonts w:ascii="Garamond" w:hAnsi="Garamond"/>
                <w:b/>
                <w:bCs/>
                <w:sz w:val="20"/>
                <w:szCs w:val="20"/>
              </w:rPr>
            </w:pPr>
            <w:r w:rsidRPr="00982BFF">
              <w:rPr>
                <w:rFonts w:ascii="Garamond" w:hAnsi="Garamond"/>
                <w:b/>
                <w:bCs/>
                <w:sz w:val="20"/>
                <w:szCs w:val="20"/>
              </w:rPr>
              <w:t>Data e marrjes së deklaratës së kërkuesit</w:t>
            </w:r>
          </w:p>
        </w:tc>
        <w:tc>
          <w:tcPr>
            <w:tcW w:w="699" w:type="pct"/>
          </w:tcPr>
          <w:p w14:paraId="27487FB3" w14:textId="08535E50" w:rsidR="00C667B0" w:rsidRPr="00982BFF" w:rsidRDefault="00C667B0" w:rsidP="00C667B0">
            <w:pPr>
              <w:pStyle w:val="JuPara"/>
              <w:ind w:firstLine="0"/>
              <w:jc w:val="center"/>
              <w:rPr>
                <w:rFonts w:ascii="Garamond" w:hAnsi="Garamond"/>
                <w:b/>
                <w:bCs/>
                <w:sz w:val="20"/>
                <w:szCs w:val="20"/>
              </w:rPr>
            </w:pPr>
            <w:r w:rsidRPr="00982BFF">
              <w:rPr>
                <w:rFonts w:ascii="Garamond" w:hAnsi="Garamond"/>
                <w:b/>
                <w:bCs/>
                <w:sz w:val="20"/>
                <w:szCs w:val="20"/>
              </w:rPr>
              <w:t>Shuma e akorduar për dëmin jopasuror për kërkues (në euro)</w:t>
            </w:r>
            <w:r w:rsidRPr="00982BFF">
              <w:rPr>
                <w:rStyle w:val="FootnoteReference"/>
                <w:rFonts w:ascii="Garamond" w:hAnsi="Garamond"/>
                <w:b/>
                <w:bCs/>
                <w:sz w:val="20"/>
                <w:szCs w:val="20"/>
              </w:rPr>
              <w:footnoteReference w:id="2"/>
            </w:r>
          </w:p>
        </w:tc>
      </w:tr>
      <w:tr w:rsidR="00C667B0" w:rsidRPr="00982BFF" w14:paraId="453288C6" w14:textId="77777777" w:rsidTr="00C667B0">
        <w:trPr>
          <w:jc w:val="center"/>
        </w:trPr>
        <w:tc>
          <w:tcPr>
            <w:tcW w:w="651" w:type="pct"/>
          </w:tcPr>
          <w:p w14:paraId="77D48B97" w14:textId="77777777" w:rsidR="00C667B0" w:rsidRPr="00982BFF" w:rsidRDefault="00C667B0" w:rsidP="00C667B0">
            <w:pPr>
              <w:pStyle w:val="JuPara"/>
              <w:ind w:firstLine="0"/>
              <w:jc w:val="center"/>
              <w:rPr>
                <w:rFonts w:ascii="Garamond" w:hAnsi="Garamond"/>
                <w:sz w:val="20"/>
                <w:szCs w:val="20"/>
              </w:rPr>
            </w:pPr>
            <w:r w:rsidRPr="00982BFF">
              <w:rPr>
                <w:rFonts w:ascii="Garamond" w:hAnsi="Garamond"/>
                <w:sz w:val="20"/>
                <w:szCs w:val="20"/>
              </w:rPr>
              <w:t>12957/15</w:t>
            </w:r>
          </w:p>
          <w:p w14:paraId="2FFC0B27" w14:textId="4A2D1B7C" w:rsidR="00C667B0" w:rsidRPr="00982BFF" w:rsidRDefault="00C667B0" w:rsidP="00C667B0">
            <w:pPr>
              <w:pStyle w:val="JuPara"/>
              <w:ind w:firstLine="0"/>
              <w:jc w:val="center"/>
              <w:rPr>
                <w:rFonts w:ascii="Garamond" w:hAnsi="Garamond"/>
                <w:sz w:val="20"/>
                <w:szCs w:val="20"/>
              </w:rPr>
            </w:pPr>
            <w:r w:rsidRPr="00982BFF">
              <w:rPr>
                <w:rFonts w:ascii="Garamond" w:hAnsi="Garamond"/>
                <w:sz w:val="20"/>
                <w:szCs w:val="20"/>
              </w:rPr>
              <w:t>18</w:t>
            </w:r>
            <w:r w:rsidR="00856BB8">
              <w:rPr>
                <w:rFonts w:ascii="Garamond" w:hAnsi="Garamond"/>
                <w:sz w:val="20"/>
                <w:szCs w:val="20"/>
              </w:rPr>
              <w:t>.</w:t>
            </w:r>
            <w:r w:rsidRPr="00982BFF">
              <w:rPr>
                <w:rFonts w:ascii="Garamond" w:hAnsi="Garamond"/>
                <w:sz w:val="20"/>
                <w:szCs w:val="20"/>
              </w:rPr>
              <w:t>4</w:t>
            </w:r>
            <w:r w:rsidR="00856BB8">
              <w:rPr>
                <w:rFonts w:ascii="Garamond" w:hAnsi="Garamond"/>
                <w:sz w:val="20"/>
                <w:szCs w:val="20"/>
              </w:rPr>
              <w:t>.</w:t>
            </w:r>
            <w:r w:rsidRPr="00982BFF">
              <w:rPr>
                <w:rFonts w:ascii="Garamond" w:hAnsi="Garamond"/>
                <w:sz w:val="20"/>
                <w:szCs w:val="20"/>
              </w:rPr>
              <w:t>2015</w:t>
            </w:r>
          </w:p>
        </w:tc>
        <w:tc>
          <w:tcPr>
            <w:tcW w:w="1000" w:type="pct"/>
          </w:tcPr>
          <w:p w14:paraId="7344B533" w14:textId="5C29B8D8" w:rsidR="00C667B0" w:rsidRPr="00982BFF" w:rsidRDefault="00C667B0" w:rsidP="00C667B0">
            <w:pPr>
              <w:pStyle w:val="JuPara"/>
              <w:ind w:firstLine="0"/>
              <w:jc w:val="center"/>
              <w:rPr>
                <w:rFonts w:ascii="Garamond" w:hAnsi="Garamond"/>
                <w:b/>
                <w:sz w:val="20"/>
                <w:szCs w:val="20"/>
              </w:rPr>
            </w:pPr>
            <w:r w:rsidRPr="00982BFF">
              <w:rPr>
                <w:rFonts w:ascii="Garamond" w:hAnsi="Garamond"/>
                <w:b/>
                <w:sz w:val="20"/>
                <w:szCs w:val="20"/>
              </w:rPr>
              <w:t>Muhamet Kerpaci</w:t>
            </w:r>
          </w:p>
          <w:p w14:paraId="2DE86428" w14:textId="77777777" w:rsidR="00C667B0" w:rsidRPr="00982BFF" w:rsidRDefault="00C667B0" w:rsidP="00C667B0">
            <w:pPr>
              <w:pStyle w:val="JuPara"/>
              <w:ind w:firstLine="0"/>
              <w:jc w:val="center"/>
              <w:rPr>
                <w:rFonts w:ascii="Garamond" w:hAnsi="Garamond"/>
                <w:sz w:val="20"/>
                <w:szCs w:val="20"/>
              </w:rPr>
            </w:pPr>
            <w:r w:rsidRPr="00982BFF">
              <w:rPr>
                <w:rFonts w:ascii="Garamond" w:hAnsi="Garamond"/>
                <w:sz w:val="20"/>
                <w:szCs w:val="20"/>
              </w:rPr>
              <w:t>1958</w:t>
            </w:r>
          </w:p>
        </w:tc>
        <w:tc>
          <w:tcPr>
            <w:tcW w:w="968" w:type="pct"/>
          </w:tcPr>
          <w:p w14:paraId="47572B79" w14:textId="77777777" w:rsidR="00C667B0" w:rsidRPr="00982BFF" w:rsidRDefault="00C667B0" w:rsidP="00C667B0">
            <w:pPr>
              <w:pStyle w:val="JuPara"/>
              <w:ind w:firstLine="0"/>
              <w:jc w:val="center"/>
              <w:rPr>
                <w:rFonts w:ascii="Garamond" w:hAnsi="Garamond"/>
                <w:bCs/>
                <w:sz w:val="20"/>
                <w:szCs w:val="20"/>
              </w:rPr>
            </w:pPr>
            <w:r w:rsidRPr="00982BFF">
              <w:rPr>
                <w:rFonts w:ascii="Garamond" w:hAnsi="Garamond"/>
                <w:bCs/>
                <w:sz w:val="20"/>
                <w:szCs w:val="20"/>
              </w:rPr>
              <w:t>Neni 13 – mungesa e zgjidhjes efektive në ligjin e brendshëm</w:t>
            </w:r>
          </w:p>
        </w:tc>
        <w:tc>
          <w:tcPr>
            <w:tcW w:w="883" w:type="pct"/>
          </w:tcPr>
          <w:p w14:paraId="762B8BBC" w14:textId="62601900" w:rsidR="00C667B0" w:rsidRPr="00982BFF" w:rsidRDefault="00C667B0" w:rsidP="00C667B0">
            <w:pPr>
              <w:pStyle w:val="JuPara"/>
              <w:ind w:firstLine="0"/>
              <w:jc w:val="center"/>
              <w:rPr>
                <w:rFonts w:ascii="Garamond" w:hAnsi="Garamond"/>
                <w:bCs/>
                <w:sz w:val="20"/>
                <w:szCs w:val="20"/>
              </w:rPr>
            </w:pPr>
            <w:r w:rsidRPr="00982BFF">
              <w:rPr>
                <w:rFonts w:ascii="Garamond" w:hAnsi="Garamond"/>
                <w:bCs/>
                <w:sz w:val="20"/>
                <w:szCs w:val="20"/>
              </w:rPr>
              <w:t>15</w:t>
            </w:r>
            <w:r w:rsidR="00856BB8">
              <w:rPr>
                <w:rFonts w:ascii="Garamond" w:hAnsi="Garamond"/>
                <w:bCs/>
                <w:sz w:val="20"/>
                <w:szCs w:val="20"/>
              </w:rPr>
              <w:t>.</w:t>
            </w:r>
            <w:r w:rsidRPr="00982BFF">
              <w:rPr>
                <w:rFonts w:ascii="Garamond" w:hAnsi="Garamond"/>
                <w:bCs/>
                <w:sz w:val="20"/>
                <w:szCs w:val="20"/>
              </w:rPr>
              <w:t>12</w:t>
            </w:r>
            <w:r w:rsidR="00856BB8">
              <w:rPr>
                <w:rFonts w:ascii="Garamond" w:hAnsi="Garamond"/>
                <w:bCs/>
                <w:sz w:val="20"/>
                <w:szCs w:val="20"/>
              </w:rPr>
              <w:t>.</w:t>
            </w:r>
            <w:r w:rsidRPr="00982BFF">
              <w:rPr>
                <w:rFonts w:ascii="Garamond" w:hAnsi="Garamond"/>
                <w:bCs/>
                <w:sz w:val="20"/>
                <w:szCs w:val="20"/>
              </w:rPr>
              <w:t>2022</w:t>
            </w:r>
          </w:p>
        </w:tc>
        <w:tc>
          <w:tcPr>
            <w:tcW w:w="800" w:type="pct"/>
          </w:tcPr>
          <w:p w14:paraId="7F9C8FC6" w14:textId="771106BA" w:rsidR="00C667B0" w:rsidRPr="00982BFF" w:rsidRDefault="00C667B0" w:rsidP="00C667B0">
            <w:pPr>
              <w:pStyle w:val="JuPara"/>
              <w:ind w:firstLine="0"/>
              <w:jc w:val="center"/>
              <w:rPr>
                <w:rFonts w:ascii="Garamond" w:hAnsi="Garamond"/>
                <w:bCs/>
                <w:sz w:val="20"/>
                <w:szCs w:val="20"/>
              </w:rPr>
            </w:pPr>
            <w:r w:rsidRPr="00982BFF">
              <w:rPr>
                <w:rFonts w:ascii="Garamond" w:hAnsi="Garamond"/>
                <w:bCs/>
                <w:sz w:val="20"/>
                <w:szCs w:val="20"/>
              </w:rPr>
              <w:t>19</w:t>
            </w:r>
            <w:r w:rsidR="00856BB8">
              <w:rPr>
                <w:rFonts w:ascii="Garamond" w:hAnsi="Garamond"/>
                <w:bCs/>
                <w:sz w:val="20"/>
                <w:szCs w:val="20"/>
              </w:rPr>
              <w:t>.</w:t>
            </w:r>
            <w:r w:rsidRPr="00982BFF">
              <w:rPr>
                <w:rFonts w:ascii="Garamond" w:hAnsi="Garamond"/>
                <w:bCs/>
                <w:sz w:val="20"/>
                <w:szCs w:val="20"/>
              </w:rPr>
              <w:t>9</w:t>
            </w:r>
            <w:r w:rsidR="00856BB8">
              <w:rPr>
                <w:rFonts w:ascii="Garamond" w:hAnsi="Garamond"/>
                <w:bCs/>
                <w:sz w:val="20"/>
                <w:szCs w:val="20"/>
              </w:rPr>
              <w:t>.</w:t>
            </w:r>
            <w:r w:rsidRPr="00982BFF">
              <w:rPr>
                <w:rFonts w:ascii="Garamond" w:hAnsi="Garamond"/>
                <w:bCs/>
                <w:sz w:val="20"/>
                <w:szCs w:val="20"/>
              </w:rPr>
              <w:t>2022</w:t>
            </w:r>
          </w:p>
        </w:tc>
        <w:tc>
          <w:tcPr>
            <w:tcW w:w="699" w:type="pct"/>
          </w:tcPr>
          <w:p w14:paraId="34448F19" w14:textId="77777777" w:rsidR="00C667B0" w:rsidRPr="00982BFF" w:rsidRDefault="00C667B0" w:rsidP="00C667B0">
            <w:pPr>
              <w:pStyle w:val="JuPara"/>
              <w:ind w:firstLine="0"/>
              <w:jc w:val="center"/>
              <w:rPr>
                <w:rFonts w:ascii="Garamond" w:hAnsi="Garamond"/>
                <w:bCs/>
                <w:sz w:val="20"/>
                <w:szCs w:val="20"/>
              </w:rPr>
            </w:pPr>
            <w:r w:rsidRPr="00982BFF">
              <w:rPr>
                <w:rFonts w:ascii="Garamond" w:hAnsi="Garamond"/>
                <w:bCs/>
                <w:sz w:val="20"/>
                <w:szCs w:val="20"/>
              </w:rPr>
              <w:t>1,000</w:t>
            </w:r>
          </w:p>
        </w:tc>
      </w:tr>
    </w:tbl>
    <w:p w14:paraId="3EB5F3D7" w14:textId="77777777" w:rsidR="00C667B0" w:rsidRPr="00982BFF" w:rsidRDefault="00C667B0" w:rsidP="00C667B0">
      <w:pPr>
        <w:pStyle w:val="JuPara"/>
        <w:jc w:val="center"/>
        <w:rPr>
          <w:rFonts w:ascii="Garamond" w:hAnsi="Garamond"/>
        </w:rPr>
      </w:pPr>
    </w:p>
    <w:p w14:paraId="2D2C9DF2" w14:textId="77777777" w:rsidR="00C667B0" w:rsidRPr="00982BFF" w:rsidRDefault="00C667B0" w:rsidP="00C667B0">
      <w:pPr>
        <w:pStyle w:val="JuPara"/>
        <w:rPr>
          <w:rFonts w:ascii="Garamond" w:hAnsi="Garamond"/>
        </w:rPr>
      </w:pPr>
    </w:p>
    <w:p w14:paraId="4BAD68C3" w14:textId="77777777" w:rsidR="00B56218" w:rsidRPr="00982BFF" w:rsidRDefault="00B56218" w:rsidP="00C667B0">
      <w:pPr>
        <w:spacing w:after="0" w:line="240" w:lineRule="auto"/>
        <w:ind w:firstLine="284"/>
        <w:rPr>
          <w:rFonts w:ascii="Garamond" w:hAnsi="Garamond"/>
          <w:lang w:val="sq-AL"/>
        </w:rPr>
      </w:pPr>
    </w:p>
    <w:sectPr w:rsidR="00B56218" w:rsidRPr="00982B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E9DE0" w14:textId="77777777" w:rsidR="00F77351" w:rsidRDefault="00F77351" w:rsidP="00C667B0">
      <w:pPr>
        <w:spacing w:after="0" w:line="240" w:lineRule="auto"/>
      </w:pPr>
      <w:r>
        <w:separator/>
      </w:r>
    </w:p>
  </w:endnote>
  <w:endnote w:type="continuationSeparator" w:id="0">
    <w:p w14:paraId="17EE0A45" w14:textId="77777777" w:rsidR="00F77351" w:rsidRDefault="00F77351" w:rsidP="00C667B0">
      <w:pPr>
        <w:spacing w:after="0" w:line="240" w:lineRule="auto"/>
      </w:pPr>
      <w:r>
        <w:continuationSeparator/>
      </w:r>
    </w:p>
  </w:endnote>
  <w:endnote w:type="continuationNotice" w:id="1">
    <w:p w14:paraId="5ED0794D" w14:textId="77777777" w:rsidR="00F77351" w:rsidRDefault="00F773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69743" w14:textId="77777777" w:rsidR="00F77351" w:rsidRDefault="00F77351" w:rsidP="00C667B0">
      <w:pPr>
        <w:spacing w:after="0" w:line="240" w:lineRule="auto"/>
      </w:pPr>
      <w:r>
        <w:separator/>
      </w:r>
    </w:p>
  </w:footnote>
  <w:footnote w:type="continuationSeparator" w:id="0">
    <w:p w14:paraId="537BEBBF" w14:textId="77777777" w:rsidR="00F77351" w:rsidRDefault="00F77351" w:rsidP="00C667B0">
      <w:pPr>
        <w:spacing w:after="0" w:line="240" w:lineRule="auto"/>
      </w:pPr>
      <w:r>
        <w:continuationSeparator/>
      </w:r>
    </w:p>
  </w:footnote>
  <w:footnote w:type="continuationNotice" w:id="1">
    <w:p w14:paraId="004B6AB6" w14:textId="77777777" w:rsidR="00F77351" w:rsidRDefault="00F77351">
      <w:pPr>
        <w:spacing w:after="0" w:line="240" w:lineRule="auto"/>
      </w:pPr>
    </w:p>
  </w:footnote>
  <w:footnote w:id="2">
    <w:p w14:paraId="655845C3" w14:textId="77777777" w:rsidR="00982BFF" w:rsidRPr="00C667B0" w:rsidRDefault="00982BFF" w:rsidP="00C667B0">
      <w:pPr>
        <w:pStyle w:val="FootnoteText"/>
        <w:rPr>
          <w:rFonts w:ascii="Garamond" w:hAnsi="Garamond"/>
          <w:lang w:val="en-US"/>
        </w:rPr>
      </w:pPr>
      <w:r w:rsidRPr="00C667B0">
        <w:rPr>
          <w:rStyle w:val="FootnoteReference"/>
          <w:rFonts w:ascii="Garamond" w:hAnsi="Garamond"/>
        </w:rPr>
        <w:footnoteRef/>
      </w:r>
      <w:r w:rsidRPr="00C667B0">
        <w:rPr>
          <w:rFonts w:ascii="Garamond" w:hAnsi="Garamond"/>
        </w:rPr>
        <w:t xml:space="preserve"> Plus çdo taksë që mund t’i tarifohet kërkuesit.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C98"/>
    <w:rsid w:val="0001148F"/>
    <w:rsid w:val="00012745"/>
    <w:rsid w:val="00031098"/>
    <w:rsid w:val="000427A6"/>
    <w:rsid w:val="000458EB"/>
    <w:rsid w:val="0006026E"/>
    <w:rsid w:val="00075D23"/>
    <w:rsid w:val="00090D05"/>
    <w:rsid w:val="0009171B"/>
    <w:rsid w:val="000956ED"/>
    <w:rsid w:val="000A39B7"/>
    <w:rsid w:val="000A77D9"/>
    <w:rsid w:val="000C3D4A"/>
    <w:rsid w:val="000C55A5"/>
    <w:rsid w:val="000D1EA1"/>
    <w:rsid w:val="000D7F01"/>
    <w:rsid w:val="001149C8"/>
    <w:rsid w:val="00121461"/>
    <w:rsid w:val="0012538B"/>
    <w:rsid w:val="00135329"/>
    <w:rsid w:val="0014112D"/>
    <w:rsid w:val="00141B18"/>
    <w:rsid w:val="00142C2B"/>
    <w:rsid w:val="00160E68"/>
    <w:rsid w:val="00167FB5"/>
    <w:rsid w:val="00175424"/>
    <w:rsid w:val="00183018"/>
    <w:rsid w:val="00190C3D"/>
    <w:rsid w:val="001944EB"/>
    <w:rsid w:val="0019635C"/>
    <w:rsid w:val="001C0519"/>
    <w:rsid w:val="001D2ABC"/>
    <w:rsid w:val="001D2F1F"/>
    <w:rsid w:val="001D3A2F"/>
    <w:rsid w:val="001E065E"/>
    <w:rsid w:val="00204F93"/>
    <w:rsid w:val="00213728"/>
    <w:rsid w:val="00234715"/>
    <w:rsid w:val="00252C2A"/>
    <w:rsid w:val="00257E0A"/>
    <w:rsid w:val="00263D3A"/>
    <w:rsid w:val="002821F2"/>
    <w:rsid w:val="00285D42"/>
    <w:rsid w:val="002929DC"/>
    <w:rsid w:val="002959B6"/>
    <w:rsid w:val="002A23A7"/>
    <w:rsid w:val="002B1C09"/>
    <w:rsid w:val="002B6595"/>
    <w:rsid w:val="002B7B82"/>
    <w:rsid w:val="002C3DC5"/>
    <w:rsid w:val="002C7879"/>
    <w:rsid w:val="002D71C7"/>
    <w:rsid w:val="002E2CDE"/>
    <w:rsid w:val="002F0DDD"/>
    <w:rsid w:val="003346E6"/>
    <w:rsid w:val="00334BDB"/>
    <w:rsid w:val="00336C31"/>
    <w:rsid w:val="00345F96"/>
    <w:rsid w:val="0034608A"/>
    <w:rsid w:val="00354F7A"/>
    <w:rsid w:val="003557A7"/>
    <w:rsid w:val="003661C2"/>
    <w:rsid w:val="003673CA"/>
    <w:rsid w:val="00373E4A"/>
    <w:rsid w:val="00375DE4"/>
    <w:rsid w:val="00390D00"/>
    <w:rsid w:val="003956A3"/>
    <w:rsid w:val="00397301"/>
    <w:rsid w:val="003A0634"/>
    <w:rsid w:val="003A40CD"/>
    <w:rsid w:val="003A489E"/>
    <w:rsid w:val="003B4312"/>
    <w:rsid w:val="003B57C7"/>
    <w:rsid w:val="003D12F1"/>
    <w:rsid w:val="003D54AD"/>
    <w:rsid w:val="003D693A"/>
    <w:rsid w:val="003E6C19"/>
    <w:rsid w:val="00421355"/>
    <w:rsid w:val="00425784"/>
    <w:rsid w:val="00452990"/>
    <w:rsid w:val="004604CD"/>
    <w:rsid w:val="00462CFB"/>
    <w:rsid w:val="00486681"/>
    <w:rsid w:val="00490071"/>
    <w:rsid w:val="004948FB"/>
    <w:rsid w:val="00497200"/>
    <w:rsid w:val="004A2477"/>
    <w:rsid w:val="004B0267"/>
    <w:rsid w:val="004C0C4E"/>
    <w:rsid w:val="004C25A2"/>
    <w:rsid w:val="004C3178"/>
    <w:rsid w:val="004C691E"/>
    <w:rsid w:val="004D4267"/>
    <w:rsid w:val="00504AE4"/>
    <w:rsid w:val="00505829"/>
    <w:rsid w:val="00523B5F"/>
    <w:rsid w:val="005305D6"/>
    <w:rsid w:val="00541B7A"/>
    <w:rsid w:val="00551CD1"/>
    <w:rsid w:val="0055246F"/>
    <w:rsid w:val="0055542F"/>
    <w:rsid w:val="00567F21"/>
    <w:rsid w:val="00571959"/>
    <w:rsid w:val="00571B80"/>
    <w:rsid w:val="0058238F"/>
    <w:rsid w:val="00592C00"/>
    <w:rsid w:val="00593F5E"/>
    <w:rsid w:val="00597694"/>
    <w:rsid w:val="005B0B35"/>
    <w:rsid w:val="005B5967"/>
    <w:rsid w:val="005B7AE1"/>
    <w:rsid w:val="005C301C"/>
    <w:rsid w:val="005F5040"/>
    <w:rsid w:val="005F5236"/>
    <w:rsid w:val="006032E2"/>
    <w:rsid w:val="00615BAF"/>
    <w:rsid w:val="0061609B"/>
    <w:rsid w:val="00623E07"/>
    <w:rsid w:val="00624100"/>
    <w:rsid w:val="00632A0C"/>
    <w:rsid w:val="006379E9"/>
    <w:rsid w:val="006425E0"/>
    <w:rsid w:val="00666247"/>
    <w:rsid w:val="00677AD4"/>
    <w:rsid w:val="00681454"/>
    <w:rsid w:val="00687BAF"/>
    <w:rsid w:val="006945EE"/>
    <w:rsid w:val="006A512D"/>
    <w:rsid w:val="006C0FE3"/>
    <w:rsid w:val="006C5CF7"/>
    <w:rsid w:val="006D77AF"/>
    <w:rsid w:val="006E6768"/>
    <w:rsid w:val="00710CF1"/>
    <w:rsid w:val="0072369E"/>
    <w:rsid w:val="00723964"/>
    <w:rsid w:val="007253AC"/>
    <w:rsid w:val="0073468F"/>
    <w:rsid w:val="00773738"/>
    <w:rsid w:val="0077527A"/>
    <w:rsid w:val="00775B4C"/>
    <w:rsid w:val="007A0E53"/>
    <w:rsid w:val="007A6FEA"/>
    <w:rsid w:val="007C2D06"/>
    <w:rsid w:val="007C5CE9"/>
    <w:rsid w:val="007D20DA"/>
    <w:rsid w:val="007D4E26"/>
    <w:rsid w:val="007E4A74"/>
    <w:rsid w:val="007F1F00"/>
    <w:rsid w:val="007F20FF"/>
    <w:rsid w:val="0080141E"/>
    <w:rsid w:val="00804031"/>
    <w:rsid w:val="008044AD"/>
    <w:rsid w:val="008247A8"/>
    <w:rsid w:val="00856BB8"/>
    <w:rsid w:val="00867646"/>
    <w:rsid w:val="0087040E"/>
    <w:rsid w:val="00876FE2"/>
    <w:rsid w:val="00886A96"/>
    <w:rsid w:val="00893102"/>
    <w:rsid w:val="008A2062"/>
    <w:rsid w:val="008C2627"/>
    <w:rsid w:val="008D0BB7"/>
    <w:rsid w:val="008D0DF7"/>
    <w:rsid w:val="008D0E80"/>
    <w:rsid w:val="008D2BEA"/>
    <w:rsid w:val="008E44CB"/>
    <w:rsid w:val="00915403"/>
    <w:rsid w:val="00943A32"/>
    <w:rsid w:val="00950BCD"/>
    <w:rsid w:val="009547F5"/>
    <w:rsid w:val="00960C9A"/>
    <w:rsid w:val="00982BFF"/>
    <w:rsid w:val="00983036"/>
    <w:rsid w:val="0098745D"/>
    <w:rsid w:val="009901CB"/>
    <w:rsid w:val="009B2B45"/>
    <w:rsid w:val="009E40DB"/>
    <w:rsid w:val="009E42A5"/>
    <w:rsid w:val="009E4E0D"/>
    <w:rsid w:val="00A0127D"/>
    <w:rsid w:val="00A0283C"/>
    <w:rsid w:val="00A11BF5"/>
    <w:rsid w:val="00A128DF"/>
    <w:rsid w:val="00A13AD7"/>
    <w:rsid w:val="00A20C98"/>
    <w:rsid w:val="00A24CF9"/>
    <w:rsid w:val="00A25B9A"/>
    <w:rsid w:val="00A32E87"/>
    <w:rsid w:val="00A4586F"/>
    <w:rsid w:val="00A46623"/>
    <w:rsid w:val="00A52EE5"/>
    <w:rsid w:val="00A6527C"/>
    <w:rsid w:val="00A72D95"/>
    <w:rsid w:val="00A925C9"/>
    <w:rsid w:val="00AA3CC7"/>
    <w:rsid w:val="00AA47BF"/>
    <w:rsid w:val="00AA6249"/>
    <w:rsid w:val="00AC7415"/>
    <w:rsid w:val="00AC7C81"/>
    <w:rsid w:val="00AD2604"/>
    <w:rsid w:val="00AD3E46"/>
    <w:rsid w:val="00AD7C20"/>
    <w:rsid w:val="00B034C3"/>
    <w:rsid w:val="00B11BC7"/>
    <w:rsid w:val="00B1293F"/>
    <w:rsid w:val="00B33946"/>
    <w:rsid w:val="00B4296B"/>
    <w:rsid w:val="00B56218"/>
    <w:rsid w:val="00B63506"/>
    <w:rsid w:val="00B70659"/>
    <w:rsid w:val="00B7120D"/>
    <w:rsid w:val="00B71250"/>
    <w:rsid w:val="00B7328E"/>
    <w:rsid w:val="00B76F3D"/>
    <w:rsid w:val="00B848A9"/>
    <w:rsid w:val="00B86D15"/>
    <w:rsid w:val="00BA244C"/>
    <w:rsid w:val="00BA2E85"/>
    <w:rsid w:val="00BB55ED"/>
    <w:rsid w:val="00BC0C3F"/>
    <w:rsid w:val="00BD0463"/>
    <w:rsid w:val="00BD0BEA"/>
    <w:rsid w:val="00BD36DF"/>
    <w:rsid w:val="00BE3604"/>
    <w:rsid w:val="00C042A6"/>
    <w:rsid w:val="00C07057"/>
    <w:rsid w:val="00C1476F"/>
    <w:rsid w:val="00C20549"/>
    <w:rsid w:val="00C30D0F"/>
    <w:rsid w:val="00C3572F"/>
    <w:rsid w:val="00C44A4F"/>
    <w:rsid w:val="00C45955"/>
    <w:rsid w:val="00C5044F"/>
    <w:rsid w:val="00C5501C"/>
    <w:rsid w:val="00C634C1"/>
    <w:rsid w:val="00C667B0"/>
    <w:rsid w:val="00C71BED"/>
    <w:rsid w:val="00C72247"/>
    <w:rsid w:val="00C944E6"/>
    <w:rsid w:val="00CA001C"/>
    <w:rsid w:val="00CA3579"/>
    <w:rsid w:val="00CA67DB"/>
    <w:rsid w:val="00CA70A2"/>
    <w:rsid w:val="00CB54DF"/>
    <w:rsid w:val="00CC12D4"/>
    <w:rsid w:val="00CD3537"/>
    <w:rsid w:val="00CE2A8A"/>
    <w:rsid w:val="00CE3B4C"/>
    <w:rsid w:val="00CE5249"/>
    <w:rsid w:val="00CF257C"/>
    <w:rsid w:val="00CF6387"/>
    <w:rsid w:val="00D12A76"/>
    <w:rsid w:val="00D20D88"/>
    <w:rsid w:val="00D63ABD"/>
    <w:rsid w:val="00D664EF"/>
    <w:rsid w:val="00D67248"/>
    <w:rsid w:val="00D70F22"/>
    <w:rsid w:val="00D77F86"/>
    <w:rsid w:val="00D8097B"/>
    <w:rsid w:val="00DA0E6B"/>
    <w:rsid w:val="00DA3185"/>
    <w:rsid w:val="00DA4EAA"/>
    <w:rsid w:val="00DB1844"/>
    <w:rsid w:val="00DE03AC"/>
    <w:rsid w:val="00DE1916"/>
    <w:rsid w:val="00DF00E6"/>
    <w:rsid w:val="00E04762"/>
    <w:rsid w:val="00E05E21"/>
    <w:rsid w:val="00E24542"/>
    <w:rsid w:val="00E410D0"/>
    <w:rsid w:val="00E4133D"/>
    <w:rsid w:val="00E458A5"/>
    <w:rsid w:val="00E56153"/>
    <w:rsid w:val="00E61BC2"/>
    <w:rsid w:val="00E702BD"/>
    <w:rsid w:val="00E71C53"/>
    <w:rsid w:val="00E90C21"/>
    <w:rsid w:val="00E944F8"/>
    <w:rsid w:val="00EC5ECD"/>
    <w:rsid w:val="00ED307F"/>
    <w:rsid w:val="00ED57FF"/>
    <w:rsid w:val="00EE4477"/>
    <w:rsid w:val="00EF1574"/>
    <w:rsid w:val="00EF5D20"/>
    <w:rsid w:val="00F50B83"/>
    <w:rsid w:val="00F51CB4"/>
    <w:rsid w:val="00F52037"/>
    <w:rsid w:val="00F67838"/>
    <w:rsid w:val="00F67E1E"/>
    <w:rsid w:val="00F77351"/>
    <w:rsid w:val="00F9053B"/>
    <w:rsid w:val="00FB2D9C"/>
    <w:rsid w:val="00FC3948"/>
    <w:rsid w:val="00FC51DA"/>
    <w:rsid w:val="00FC5391"/>
    <w:rsid w:val="00FC6CAA"/>
    <w:rsid w:val="00FD7CC4"/>
    <w:rsid w:val="00FE24E7"/>
    <w:rsid w:val="00FE32FE"/>
    <w:rsid w:val="00FE408A"/>
    <w:rsid w:val="00FE5DBE"/>
    <w:rsid w:val="00FE5DFC"/>
    <w:rsid w:val="00FF1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D68C2"/>
  <w15:docId w15:val="{13A9035E-620D-4C59-9BB0-3374C8FC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aliases w:val="_Para"/>
    <w:basedOn w:val="Normal"/>
    <w:link w:val="JuParaChar"/>
    <w:uiPriority w:val="4"/>
    <w:qFormat/>
    <w:rsid w:val="00A13AD7"/>
    <w:pPr>
      <w:spacing w:after="0" w:line="240" w:lineRule="auto"/>
      <w:ind w:firstLine="284"/>
      <w:jc w:val="both"/>
    </w:pPr>
    <w:rPr>
      <w:rFonts w:eastAsiaTheme="minorHAnsi"/>
      <w:sz w:val="24"/>
      <w:szCs w:val="24"/>
      <w:lang w:val="sq-AL"/>
    </w:rPr>
  </w:style>
  <w:style w:type="paragraph" w:customStyle="1" w:styleId="DecHTitle">
    <w:name w:val="Dec_H_Title"/>
    <w:aliases w:val="_Title_1"/>
    <w:basedOn w:val="JuPara"/>
    <w:next w:val="JuPara"/>
    <w:uiPriority w:val="38"/>
    <w:qFormat/>
    <w:rsid w:val="00A13AD7"/>
    <w:pPr>
      <w:keepNext/>
      <w:keepLines/>
      <w:spacing w:after="240"/>
      <w:ind w:firstLine="0"/>
      <w:jc w:val="center"/>
      <w:outlineLvl w:val="0"/>
    </w:pPr>
    <w:rPr>
      <w:rFonts w:asciiTheme="majorHAnsi" w:hAnsiTheme="majorHAnsi"/>
      <w:sz w:val="28"/>
    </w:rPr>
  </w:style>
  <w:style w:type="paragraph" w:customStyle="1" w:styleId="JuJudges">
    <w:name w:val="Ju_Judges"/>
    <w:aliases w:val="_Judges"/>
    <w:basedOn w:val="Normal"/>
    <w:uiPriority w:val="32"/>
    <w:qFormat/>
    <w:rsid w:val="00A13AD7"/>
    <w:pPr>
      <w:tabs>
        <w:tab w:val="left" w:pos="567"/>
        <w:tab w:val="left" w:pos="1134"/>
      </w:tabs>
      <w:spacing w:after="0" w:line="240" w:lineRule="auto"/>
    </w:pPr>
    <w:rPr>
      <w:rFonts w:eastAsiaTheme="minorHAnsi"/>
      <w:sz w:val="24"/>
      <w:szCs w:val="24"/>
      <w:lang w:val="sq-AL"/>
    </w:rPr>
  </w:style>
  <w:style w:type="paragraph" w:styleId="NoSpacing">
    <w:name w:val="No Spacing"/>
    <w:basedOn w:val="Normal"/>
    <w:link w:val="NoSpacingChar"/>
    <w:uiPriority w:val="98"/>
    <w:qFormat/>
    <w:rsid w:val="00A13AD7"/>
    <w:pPr>
      <w:spacing w:after="0" w:line="240" w:lineRule="auto"/>
    </w:pPr>
    <w:rPr>
      <w:rFonts w:eastAsiaTheme="minorHAnsi"/>
      <w:sz w:val="24"/>
      <w:szCs w:val="24"/>
      <w:lang w:val="sq-AL"/>
    </w:rPr>
  </w:style>
  <w:style w:type="character" w:customStyle="1" w:styleId="NoSpacingChar">
    <w:name w:val="No Spacing Char"/>
    <w:basedOn w:val="DefaultParagraphFont"/>
    <w:link w:val="NoSpacing"/>
    <w:uiPriority w:val="98"/>
    <w:rsid w:val="00A13AD7"/>
    <w:rPr>
      <w:rFonts w:eastAsiaTheme="minorHAnsi"/>
      <w:sz w:val="24"/>
      <w:szCs w:val="24"/>
      <w:lang w:val="sq-AL"/>
    </w:rPr>
  </w:style>
  <w:style w:type="character" w:customStyle="1" w:styleId="JuParaChar">
    <w:name w:val="Ju_Para Char"/>
    <w:aliases w:val="_Para Char"/>
    <w:link w:val="JuPara"/>
    <w:uiPriority w:val="4"/>
    <w:rsid w:val="00A13AD7"/>
    <w:rPr>
      <w:rFonts w:eastAsiaTheme="minorHAnsi"/>
      <w:sz w:val="24"/>
      <w:szCs w:val="24"/>
      <w:lang w:val="sq-AL"/>
    </w:rPr>
  </w:style>
  <w:style w:type="character" w:styleId="FootnoteReference">
    <w:name w:val="footnote reference"/>
    <w:basedOn w:val="DefaultParagraphFont"/>
    <w:uiPriority w:val="98"/>
    <w:semiHidden/>
    <w:rsid w:val="00C667B0"/>
    <w:rPr>
      <w:vertAlign w:val="superscript"/>
    </w:rPr>
  </w:style>
  <w:style w:type="paragraph" w:styleId="FootnoteText">
    <w:name w:val="footnote text"/>
    <w:basedOn w:val="Normal"/>
    <w:link w:val="FootnoteTextChar"/>
    <w:uiPriority w:val="98"/>
    <w:semiHidden/>
    <w:rsid w:val="00C667B0"/>
    <w:pPr>
      <w:spacing w:after="0" w:line="240" w:lineRule="auto"/>
    </w:pPr>
    <w:rPr>
      <w:rFonts w:eastAsiaTheme="minorHAnsi"/>
      <w:sz w:val="20"/>
      <w:szCs w:val="20"/>
      <w:lang w:val="sq-AL"/>
    </w:rPr>
  </w:style>
  <w:style w:type="character" w:customStyle="1" w:styleId="FootnoteTextChar">
    <w:name w:val="Footnote Text Char"/>
    <w:basedOn w:val="DefaultParagraphFont"/>
    <w:link w:val="FootnoteText"/>
    <w:uiPriority w:val="98"/>
    <w:semiHidden/>
    <w:rsid w:val="00C667B0"/>
    <w:rPr>
      <w:rFonts w:eastAsiaTheme="minorHAnsi"/>
      <w:sz w:val="20"/>
      <w:szCs w:val="20"/>
      <w:lang w:val="sq-AL"/>
    </w:rPr>
  </w:style>
  <w:style w:type="table" w:styleId="TableGrid">
    <w:name w:val="Table Grid"/>
    <w:basedOn w:val="TableNormal"/>
    <w:uiPriority w:val="59"/>
    <w:rsid w:val="00C667B0"/>
    <w:pPr>
      <w:spacing w:after="0" w:line="240" w:lineRule="auto"/>
    </w:pPr>
    <w:rPr>
      <w:rFonts w:eastAsiaTheme="minorEastAsia"/>
      <w:sz w:val="24"/>
      <w:szCs w:val="24"/>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C0F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0FE3"/>
  </w:style>
  <w:style w:type="paragraph" w:styleId="Footer">
    <w:name w:val="footer"/>
    <w:basedOn w:val="Normal"/>
    <w:link w:val="FooterChar"/>
    <w:uiPriority w:val="99"/>
    <w:semiHidden/>
    <w:unhideWhenUsed/>
    <w:rsid w:val="006C0F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kt ligjor" ma:contentTypeID="0x01010021E9EAA00ED74B59B70652D30550189B"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12957-15</Nr_x002e__x0020_akti>
    <Data_x0020_e_x0020_Krijimit xmlns="0e656187-b300-4fb0-8bf4-3a50f872073c">2023-06-05T10:39:53Z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2023-06-04T22:00:00Z</Date_x0020_protokolli>
    <Titulli xmlns="0e656187-b300-4fb0-8bf4-3a50f872073c">Muhamet Kerpaci kundër Shqipërisë</Titulli>
    <Modifikuesi xmlns="0e656187-b300-4fb0-8bf4-3a50f872073c">ermira.bukaci</Modifikuesi>
    <Nr_x002e__x0020_prot_x0020_QBZ xmlns="0e656187-b300-4fb0-8bf4-3a50f872073c">817/1</Nr_x002e__x0020_prot_x0020_QBZ>
    <Data_x0020_e_x0020_Modifikimit xmlns="0e656187-b300-4fb0-8bf4-3a50f872073c">2023-06-06T09:55:32Z</Data_x0020_e_x0020_Modifikimit>
    <Dekretuar xmlns="0e656187-b300-4fb0-8bf4-3a50f872073c">false</Dekretuar>
    <Data xmlns="0e656187-b300-4fb0-8bf4-3a50f872073c">2023-05-10T22:00:00Z</Data>
    <Nr_x002e__x0020_protokolli_x0020_i_x0020_aktit xmlns="0e656187-b300-4fb0-8bf4-3a50f872073c">3641/1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6.xml><?xml version="1.0" encoding="utf-8"?>
<ct:contentTypeSchema xmlns:ct="http://schemas.microsoft.com/office/2006/metadata/contentType" xmlns:ma="http://schemas.microsoft.com/office/2006/metadata/properties/metaAttributes" ct:_="" ma:_="" ma:contentTypeName="Akt ligjor" ma:contentTypeID="0x01010021E9EAA00ED74B59B70652D30550189B"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8366169-BDF4-4981-B2FA-6092F0BCB7FA}">
  <ds:schemaRefs>
    <ds:schemaRef ds:uri="http://schemas.openxmlformats.org/officeDocument/2006/bibliography"/>
  </ds:schemaRefs>
</ds:datastoreItem>
</file>

<file path=customXml/itemProps2.xml><?xml version="1.0" encoding="utf-8"?>
<ds:datastoreItem xmlns:ds="http://schemas.openxmlformats.org/officeDocument/2006/customXml" ds:itemID="{03D76FB0-B926-4C46-A921-1855D85BB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0A6A48D-B311-4F0E-99E7-1CBC52155622}">
  <ds:schemaRefs>
    <ds:schemaRef ds:uri="http://schemas.microsoft.com/sharepoint/v3/contenttype/forms"/>
  </ds:schemaRefs>
</ds:datastoreItem>
</file>

<file path=customXml/itemProps4.xml><?xml version="1.0" encoding="utf-8"?>
<ds:datastoreItem xmlns:ds="http://schemas.openxmlformats.org/officeDocument/2006/customXml" ds:itemID="{41B9240B-4732-45F7-8CE7-E8CE275C7816}">
  <ds:schemaRefs>
    <ds:schemaRef ds:uri="http://schemas.microsoft.com/sharepoint/v3/contenttype/forms"/>
  </ds:schemaRefs>
</ds:datastoreItem>
</file>

<file path=customXml/itemProps5.xml><?xml version="1.0" encoding="utf-8"?>
<ds:datastoreItem xmlns:ds="http://schemas.openxmlformats.org/officeDocument/2006/customXml" ds:itemID="{E5EFC284-0DCE-4A31-BD58-3C4A1421F817}">
  <ds:schemaRefs>
    <ds:schemaRef ds:uri="http://schemas.microsoft.com/office/2006/metadata/properties"/>
    <ds:schemaRef ds:uri="http://schemas.microsoft.com/office/infopath/2007/PartnerControls"/>
    <ds:schemaRef ds:uri="0e656187-b300-4fb0-8bf4-3a50f872073c"/>
  </ds:schemaRefs>
</ds:datastoreItem>
</file>

<file path=customXml/itemProps6.xml><?xml version="1.0" encoding="utf-8"?>
<ds:datastoreItem xmlns:ds="http://schemas.openxmlformats.org/officeDocument/2006/customXml" ds:itemID="{78D4CBF7-1549-4B93-98D5-0DF6B5EA0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Muhamet Kerpaci kundër Shqipërisë</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Muhamet Kerpaci kundër Shqipërisë</dc:title>
  <dc:creator>Entela Suli</dc:creator>
  <cp:lastModifiedBy>Jonida Zaharia</cp:lastModifiedBy>
  <cp:revision>2</cp:revision>
  <dcterms:created xsi:type="dcterms:W3CDTF">2024-06-07T09:42:00Z</dcterms:created>
  <dcterms:modified xsi:type="dcterms:W3CDTF">2024-06-07T09:42:00Z</dcterms:modified>
</cp:coreProperties>
</file>