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E2B5" w14:textId="77777777" w:rsidR="00F64533" w:rsidRPr="00F64533" w:rsidRDefault="00F64533" w:rsidP="00F64533">
      <w:pPr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533">
        <w:rPr>
          <w:rFonts w:ascii="Garamond" w:eastAsia="Times New Roman" w:hAnsi="Garamond" w:cs="Times New Roman"/>
          <w:color w:val="000000"/>
          <w:sz w:val="24"/>
          <w:szCs w:val="24"/>
        </w:rPr>
        <w:t>GJYKATA EVROPIANE E TË DREJTAVE TË NJERIUT</w:t>
      </w:r>
    </w:p>
    <w:p w14:paraId="4C8B4B3D" w14:textId="77777777" w:rsidR="00F64533" w:rsidRDefault="00F64533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6D24F36" w14:textId="77777777" w:rsidR="00F64533" w:rsidRDefault="00F64533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F4D59F1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SEKSIONI I TRETË</w:t>
      </w:r>
    </w:p>
    <w:p w14:paraId="5FD910F1" w14:textId="6BDD192B" w:rsidR="0064104A" w:rsidRPr="00847738" w:rsidRDefault="0064104A" w:rsidP="001A2195">
      <w:pPr>
        <w:rPr>
          <w:lang w:val="sq-AL"/>
        </w:rPr>
      </w:pPr>
    </w:p>
    <w:p w14:paraId="35805349" w14:textId="1E435A6E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ÇËSHTJA MULLA KUNDËR SHQIPËRISË</w:t>
      </w:r>
    </w:p>
    <w:p w14:paraId="1707DE1B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color w:val="000000"/>
          <w:sz w:val="24"/>
          <w:szCs w:val="24"/>
          <w:lang w:val="sq-AL"/>
        </w:rPr>
        <w:t>(</w:t>
      </w:r>
      <w:r w:rsidRPr="00847738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>Kërkesa nr. 72348/11)</w:t>
      </w:r>
    </w:p>
    <w:p w14:paraId="23E06955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color w:val="000000"/>
          <w:sz w:val="24"/>
          <w:szCs w:val="24"/>
          <w:lang w:val="sq-AL"/>
        </w:rPr>
        <w:t>VENDIM</w:t>
      </w:r>
    </w:p>
    <w:p w14:paraId="7335AC34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</w:p>
    <w:p w14:paraId="6D1C4E49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color w:val="000000"/>
          <w:sz w:val="24"/>
          <w:szCs w:val="24"/>
          <w:lang w:val="sq-AL"/>
        </w:rPr>
        <w:t>STRASBURG</w:t>
      </w:r>
    </w:p>
    <w:p w14:paraId="71F4290C" w14:textId="03C068EC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color w:val="000000"/>
          <w:sz w:val="24"/>
          <w:szCs w:val="24"/>
          <w:lang w:val="sq-AL"/>
        </w:rPr>
        <w:t xml:space="preserve">6 </w:t>
      </w:r>
      <w:r w:rsidR="00D905FB" w:rsidRPr="00847738">
        <w:rPr>
          <w:rFonts w:ascii="Garamond" w:hAnsi="Garamond" w:cs="MS Mincho"/>
          <w:color w:val="000000"/>
          <w:sz w:val="24"/>
          <w:szCs w:val="24"/>
          <w:lang w:val="sq-AL"/>
        </w:rPr>
        <w:t xml:space="preserve">korrik </w:t>
      </w:r>
      <w:r w:rsidRPr="00847738">
        <w:rPr>
          <w:rFonts w:ascii="Garamond" w:hAnsi="Garamond" w:cs="MS Mincho"/>
          <w:color w:val="000000"/>
          <w:sz w:val="24"/>
          <w:szCs w:val="24"/>
          <w:lang w:val="sq-AL"/>
        </w:rPr>
        <w:t>2023</w:t>
      </w:r>
    </w:p>
    <w:p w14:paraId="3ED7AC2B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</w:p>
    <w:p w14:paraId="72F4BC5E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>Ky vendim është i formës së prerë, por mund të bëhet objekt i rishikimit redaktues.</w:t>
      </w:r>
    </w:p>
    <w:p w14:paraId="31EB5EAE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</w:p>
    <w:p w14:paraId="2D9C0EDB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 xml:space="preserve">Në çështjen Mulla kundër Shqipërisë, </w:t>
      </w:r>
    </w:p>
    <w:p w14:paraId="56F2B2A3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847738">
        <w:rPr>
          <w:rFonts w:ascii="Garamond" w:hAnsi="Garamond" w:cs="MS Mincho"/>
          <w:color w:val="000000"/>
          <w:sz w:val="24"/>
          <w:szCs w:val="24"/>
          <w:lang w:val="sq-AL"/>
        </w:rPr>
        <w:t xml:space="preserve">Gjykata Evropiane e të Drejtave të Njeriut (Seksioni i Tretë) e mbledhur si një Komision, i përbërë nga: </w:t>
      </w:r>
    </w:p>
    <w:p w14:paraId="37BBF134" w14:textId="1B163CB2" w:rsidR="00386A6A" w:rsidRPr="00847738" w:rsidRDefault="00386A6A" w:rsidP="00386A6A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Ioannis Ktistakis,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="00847738"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kryetar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</w:t>
      </w:r>
    </w:p>
    <w:p w14:paraId="40213780" w14:textId="77777777" w:rsidR="00386A6A" w:rsidRPr="00847738" w:rsidRDefault="00386A6A" w:rsidP="00386A6A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Darian Pavli, </w:t>
      </w:r>
    </w:p>
    <w:p w14:paraId="555AFAA5" w14:textId="77777777" w:rsidR="00386A6A" w:rsidRPr="00847738" w:rsidRDefault="00386A6A" w:rsidP="00386A6A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Oddný Mjöll Arnardóttir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 gjyqtarë,</w:t>
      </w:r>
    </w:p>
    <w:p w14:paraId="1E4E8148" w14:textId="00A02D10" w:rsidR="00386A6A" w:rsidRPr="00847738" w:rsidRDefault="00386A6A" w:rsidP="00386A6A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dhe Viktoriya Maradudina, </w:t>
      </w:r>
      <w:r w:rsidR="00847738"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zëvendësregjistrare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e Përkohshme e Seksionit,</w:t>
      </w:r>
      <w:r w:rsidR="00847738"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</w:p>
    <w:p w14:paraId="44C26BDE" w14:textId="60D5956F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Pasi diskutoi me dyer të mbyllura më 15 </w:t>
      </w:r>
      <w:r w:rsidR="00D905FB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qershor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2023; </w:t>
      </w:r>
    </w:p>
    <w:p w14:paraId="71B0ECC7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Jep vendimin e mëposhtëm, i cili u miratua në po atë datë: </w:t>
      </w:r>
    </w:p>
    <w:p w14:paraId="2B7872EC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6DD9F7A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PROCEDURA </w:t>
      </w:r>
    </w:p>
    <w:p w14:paraId="3F3BD9B2" w14:textId="64FB2211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1. Çështja nisi me kërkesën kundër Shqipërisë depozituar pranë Gjykatës në mbështetje të </w:t>
      </w:r>
      <w:r w:rsidR="00D231EA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34 të Konventës për Mbrojtjen e të Drejtave dhe Lirive Themelore (“Konventa”) më 10 </w:t>
      </w:r>
      <w:r w:rsidR="00D905FB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n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ëntor 2011. </w:t>
      </w:r>
    </w:p>
    <w:p w14:paraId="761B5B5A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2. Qeveria shqiptare (“Qeveria”) u njoftua për kërkesën. </w:t>
      </w:r>
    </w:p>
    <w:p w14:paraId="128C75CC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FAKTET </w:t>
      </w:r>
    </w:p>
    <w:p w14:paraId="318FCE61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3. Detajet e kërkuesit dhe informacioni përkatës për aplikimin gjenden në tabelën bashkëlidhur. </w:t>
      </w:r>
    </w:p>
    <w:p w14:paraId="74ED2CB6" w14:textId="1156C56A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4. Kërkuesi u ankua për kohëzgjatje të tepërt të procesit civil. Gjithashtu, ai bëri edhe ankesa të tjera</w:t>
      </w:r>
      <w:r w:rsidR="00D231EA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sipas parashikimeve të Konventës dhe Protokolleve të saj. </w:t>
      </w:r>
    </w:p>
    <w:p w14:paraId="49D93B47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LIGJI </w:t>
      </w:r>
    </w:p>
    <w:p w14:paraId="2DC3E1B2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I. PRETENDIM PËR SHKELJE TË NENIT 6 § 1 TË KONVENTËS</w:t>
      </w:r>
    </w:p>
    <w:p w14:paraId="4EB62768" w14:textId="6F25408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5. Kërkuesi u ankua se kohëzgjatja e procesit civil konkret nuk ishte në përputhje me parashikimin për “afat të arsyeshëm”. Ai u mbështet në </w:t>
      </w:r>
      <w:r w:rsidR="00D231EA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nenin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 § 1 të Konventës. </w:t>
      </w:r>
    </w:p>
    <w:p w14:paraId="3D128E08" w14:textId="149FED7F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6. Në çështjen konkrete, procesi i cili zgjati për jo më pak se shtatë v</w:t>
      </w:r>
      <w:r w:rsidR="00BC7BAD">
        <w:rPr>
          <w:rFonts w:ascii="Garamond" w:hAnsi="Garamond" w:cs="Times New Roman"/>
          <w:color w:val="000000"/>
          <w:sz w:val="24"/>
          <w:szCs w:val="24"/>
          <w:lang w:val="sq-AL"/>
        </w:rPr>
        <w:t>jet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kishte të bënte me një çështje të thjeshtë: anulimin e procesit të shitjes dhe </w:t>
      </w:r>
      <w:r w:rsidR="009D4FCF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të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privatizimit. Kohëzgjatja iu atribua rikthimit të çështjes për gjykim dhe vonesave në Gjykatën e Apelit (për dy v</w:t>
      </w:r>
      <w:r w:rsidR="009D4FCF">
        <w:rPr>
          <w:rFonts w:ascii="Garamond" w:hAnsi="Garamond" w:cs="Times New Roman"/>
          <w:color w:val="000000"/>
          <w:sz w:val="24"/>
          <w:szCs w:val="24"/>
          <w:lang w:val="sq-AL"/>
        </w:rPr>
        <w:t>jet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), dhe në Gjykatën e Lartë (për dy v</w:t>
      </w:r>
      <w:r w:rsidR="00A32BBB">
        <w:rPr>
          <w:rFonts w:ascii="Garamond" w:hAnsi="Garamond" w:cs="Times New Roman"/>
          <w:color w:val="000000"/>
          <w:sz w:val="24"/>
          <w:szCs w:val="24"/>
          <w:lang w:val="sq-AL"/>
        </w:rPr>
        <w:t>jet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). Procesi nisi në Gjykatën e Rrethit Vlorë më 21 </w:t>
      </w:r>
      <w:r w:rsidR="002C5C2B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nëntor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2003 dhe zgjati deri më 18 </w:t>
      </w:r>
      <w:r w:rsidR="002C5C2B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maj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2011, kur Gjykata Kushtetuese vendosi rrëzimin e kërkesës së ankuesit për padrejtësi në proces. Qeveria nuk i kundërshtoi këto parashtrime të kërkuesit</w:t>
      </w:r>
      <w:r w:rsidR="002C5C2B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lidhje me kohëzgjatjen e procesit. </w:t>
      </w:r>
    </w:p>
    <w:p w14:paraId="0BDFAD2A" w14:textId="4B91A010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7. Gjykata përsërit se arsyeshmëria e kohëzgjatjes së procesit duhet të vlerësohet sipas rrethanave të çështjes dhe referuar kritereve të mëposhtme: kompleksitetit të çështjes, sjelljes së kërkuesit dhe të autoriteteve përkatëse dhe çfarë ishte në rrezik për kërkuesin në mosmarrëveshje (shih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Frydlender kundër Francës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[DHM], nr. 30979/96, § 43, GJEDNJ 2000-VII;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Gazsó kundër Hungarisë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nr. 48322/12, § 15, 16 </w:t>
      </w:r>
      <w:r w:rsidR="002C5C2B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korrik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2015; dhe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Topallaj kundër Shqipërisë,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nr. 32913/03, § 75, 21 </w:t>
      </w:r>
      <w:r w:rsidR="002C5C2B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prill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2016). </w:t>
      </w:r>
    </w:p>
    <w:p w14:paraId="1F02D916" w14:textId="02FF959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 xml:space="preserve">8. Në çështjet kryesuese,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Luli dhe të Tjerë kundër Shqipërisë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nr. 64480/09 dhe 5 të tjerë, 1 </w:t>
      </w:r>
      <w:r w:rsidR="00FE0BC9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prill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2014, dhe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Mishgjoni kundër Shqipërisë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nr. 18381/05, 7 </w:t>
      </w:r>
      <w:r w:rsidR="00FE0BC9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dhjetor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2010, Gjykata tashmë ka konstatuar një shkelje</w:t>
      </w:r>
      <w:r w:rsidR="00FE0BC9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lidhje me problematika të ngjashme me ato në çështjen konkrete. </w:t>
      </w:r>
    </w:p>
    <w:p w14:paraId="4B4ED6A4" w14:textId="38EED8A3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9. Pasi shqyrtoi materialet e dorëzuara pranë saj, Gjykata nuk ka gjetur fakte ose argumente që justifikojnë kohëzgjatjen e përgjithshme të procesit në nivel </w:t>
      </w:r>
      <w:r w:rsidR="002A432E">
        <w:rPr>
          <w:rFonts w:ascii="Garamond" w:hAnsi="Garamond" w:cs="Times New Roman"/>
          <w:color w:val="000000"/>
          <w:sz w:val="24"/>
          <w:szCs w:val="24"/>
          <w:lang w:val="sq-AL"/>
        </w:rPr>
        <w:t>vendë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s. Duke iu referuar praktikës së saj gjyqësore për lëndën, Gjykata vlerëson se në çështjen konkrete, kohëzgjatja e procesit ishte e tepërt dhe nuk respektonte kërkesën për “afat të arsyeshëm”. </w:t>
      </w:r>
    </w:p>
    <w:p w14:paraId="2A8D2D84" w14:textId="1A525C85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10. Për këtë arsye, kjo ankesë është e pranueshme dhe konstaton një shkelje të </w:t>
      </w:r>
      <w:r w:rsidR="00321014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 § 1 të Konventës. </w:t>
      </w:r>
    </w:p>
    <w:p w14:paraId="034237D4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II. ANKESA TË TJERA</w:t>
      </w:r>
    </w:p>
    <w:p w14:paraId="1E64725F" w14:textId="5F779D08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11. Kërkuesi u ankua edhe në mbështetje të </w:t>
      </w:r>
      <w:r w:rsidR="00346276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13 të Konventës dhe </w:t>
      </w:r>
      <w:r w:rsidR="00346276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 të Protokollit </w:t>
      </w:r>
      <w:r w:rsidR="00346276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nr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1 për mungesë të mjeteve efektive dhe shkelje të së drejtës së tij ndaj pronës. Duke pasur konsideratë për faktet e çështjes, parashtrimet e palëve dhe konstatimet e mësipërme, Gjykata vlerëson se e ka shqyrtuar çështjen kryesore ligjore në kërkesën konkrete. Në këtë mënyrë, ajo konstaton se nuk është e nevojshme që të japë një vendim të veçantë për to (krahaso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Qendrën për Burime Juridike në emër të Valentin Câmpeanu kundër Rumanisë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[DHM], nr. 47848/08, § 156, GJEDNJ 2014, dhe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Habilaj kundër Shqipërisë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[Komisioni], nr. 2480/10, § 14, 15 Shtator 2022).</w:t>
      </w:r>
    </w:p>
    <w:p w14:paraId="06D92373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III. ZBATIM I NENIT 41 TË KONVENTËS</w:t>
      </w:r>
    </w:p>
    <w:p w14:paraId="5331B251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12. Neni 41 i Konventës parashikon:</w:t>
      </w:r>
    </w:p>
    <w:p w14:paraId="3492A877" w14:textId="4B53ACC5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“Kur Gjykata konstaton se ka pasur një shkelje të Konventës ose të protokolleve të saj dhe, nëse e drejta e brendshme e Palës së Lartë Kontraktuese lejon të bëhet vetëm një ndreqje e pjesshme, Gjykata, kur është e nevojshme, i akordon shpërblim të drejtë palës së dëmtuar.”</w:t>
      </w:r>
    </w:p>
    <w:p w14:paraId="7955AB4D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13. Pasi ka shqyrtuar dokumentet në zotërimin e saj dhe praktikën e saj gjyqësore (shih, veçanërisht,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Luli dhe të Tjerë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cituar më sipër, dhe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Mishgjoni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cituar më sipër), Gjykata e vlerëson të arsyeshme që të akordojë shumën e përcaktuar në tabelën bashkëlidhur. </w:t>
      </w:r>
    </w:p>
    <w:p w14:paraId="6699B383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 KËTO ARSYE, GJYKATA, NË MËNYRË UNANIME, </w:t>
      </w:r>
    </w:p>
    <w:p w14:paraId="3A919FAB" w14:textId="77777777" w:rsidR="00391626" w:rsidRDefault="00386A6A" w:rsidP="003916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1. E deklaron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ankesën në lidhje me kohëzgjatjen e procesit, në mbështetje të </w:t>
      </w:r>
      <w:r w:rsidR="00703044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 të Konventës, të pranueshme, dhe </w:t>
      </w:r>
      <w:r w:rsidRPr="0084773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vendos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se nuk është e nevojshme që të shqyrtojë në mënyrë të veçantë ankesat e tjera të drejtuara në mbështetje të praktikës gjyqësore të konsoliduar të Gjykatës (shih tabelën bashkëlidhur); </w:t>
      </w:r>
    </w:p>
    <w:p w14:paraId="309C62AB" w14:textId="493CBFA9" w:rsidR="00391626" w:rsidRPr="00391626" w:rsidRDefault="00391626" w:rsidP="003916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B272CB">
        <w:rPr>
          <w:rFonts w:ascii="Garamond" w:hAnsi="Garamond"/>
          <w:i/>
          <w:iCs/>
          <w:color w:val="000000"/>
          <w:spacing w:val="-4"/>
          <w:sz w:val="24"/>
          <w:szCs w:val="24"/>
          <w:lang w:val="sq-AL"/>
        </w:rPr>
        <w:t>2. Vendos</w:t>
      </w:r>
      <w:r w:rsidRPr="00B272CB">
        <w:rPr>
          <w:rFonts w:ascii="Garamond" w:hAnsi="Garamond"/>
          <w:color w:val="000000"/>
          <w:spacing w:val="-4"/>
          <w:sz w:val="24"/>
          <w:szCs w:val="24"/>
          <w:lang w:val="sq-AL"/>
        </w:rPr>
        <w:t xml:space="preserve"> se kjo kërkesë konstaton një shkelje të nenit 6 § 1 të Konventës,</w:t>
      </w:r>
      <w:r>
        <w:rPr>
          <w:rFonts w:ascii="Garamond" w:hAnsi="Garamond"/>
          <w:color w:val="000000"/>
          <w:spacing w:val="-4"/>
          <w:sz w:val="24"/>
          <w:szCs w:val="24"/>
          <w:lang w:val="sq-AL"/>
        </w:rPr>
        <w:t xml:space="preserve"> </w:t>
      </w:r>
      <w:r w:rsidRPr="00B272CB">
        <w:rPr>
          <w:rFonts w:ascii="Garamond" w:hAnsi="Garamond"/>
          <w:color w:val="000000"/>
          <w:spacing w:val="-4"/>
          <w:sz w:val="24"/>
          <w:szCs w:val="24"/>
          <w:lang w:val="sq-AL"/>
        </w:rPr>
        <w:t xml:space="preserve">në lidhje me kohëzgjatjen e tepërt të procesit civil; </w:t>
      </w:r>
    </w:p>
    <w:p w14:paraId="0C90769F" w14:textId="77777777" w:rsidR="00391626" w:rsidRDefault="00391626" w:rsidP="00391626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/>
          <w:color w:val="000000"/>
          <w:spacing w:val="-4"/>
          <w:sz w:val="24"/>
          <w:szCs w:val="24"/>
          <w:lang w:val="sq-AL"/>
        </w:rPr>
      </w:pPr>
      <w:r>
        <w:rPr>
          <w:rFonts w:ascii="Garamond" w:hAnsi="Garamond"/>
          <w:color w:val="000000"/>
          <w:spacing w:val="-4"/>
          <w:sz w:val="24"/>
          <w:szCs w:val="24"/>
          <w:lang w:val="sq-AL"/>
        </w:rPr>
        <w:t xml:space="preserve">3. </w:t>
      </w:r>
      <w:r w:rsidRPr="004219B0">
        <w:rPr>
          <w:rFonts w:ascii="Garamond" w:hAnsi="Garamond"/>
          <w:i/>
          <w:color w:val="000000"/>
          <w:spacing w:val="-4"/>
          <w:sz w:val="24"/>
          <w:szCs w:val="24"/>
          <w:lang w:val="sq-AL"/>
        </w:rPr>
        <w:t>Vendos:</w:t>
      </w:r>
    </w:p>
    <w:p w14:paraId="66DDC8BC" w14:textId="4F084D76" w:rsidR="00391626" w:rsidRPr="00B272CB" w:rsidRDefault="00391626" w:rsidP="00643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pacing w:val="-4"/>
          <w:sz w:val="24"/>
          <w:szCs w:val="24"/>
          <w:lang w:val="sq-AL"/>
        </w:rPr>
      </w:pPr>
      <w:r w:rsidRPr="00B272CB">
        <w:rPr>
          <w:rFonts w:ascii="Garamond" w:hAnsi="Garamond"/>
          <w:i/>
          <w:iCs/>
          <w:color w:val="000000"/>
          <w:spacing w:val="-4"/>
          <w:sz w:val="24"/>
          <w:szCs w:val="24"/>
          <w:lang w:val="sq-AL"/>
        </w:rPr>
        <w:t xml:space="preserve">a. </w:t>
      </w:r>
      <w:r w:rsidRPr="00B272CB">
        <w:rPr>
          <w:rFonts w:ascii="Garamond" w:hAnsi="Garamond"/>
          <w:color w:val="000000"/>
          <w:spacing w:val="-4"/>
          <w:sz w:val="24"/>
          <w:szCs w:val="24"/>
          <w:lang w:val="sq-AL"/>
        </w:rPr>
        <w:t xml:space="preserve">se Shteti përgjegjës duhet t’i paguajë kërkuesit, brenda tre muajve, shumën e përcaktuar në tabelën bashkëlidhur, të konvertuara në monedhën e Shtetit përgjegjës në normën e zbatueshme në datën e shlyerjes; </w:t>
      </w:r>
    </w:p>
    <w:p w14:paraId="29318820" w14:textId="5246EF4F" w:rsidR="00386A6A" w:rsidRPr="00847738" w:rsidRDefault="004C7DEC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b</w:t>
      </w:r>
      <w:r w:rsidR="00386A6A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se nga përfundimi i tre muajve përmendur më sipër deri në shlyerje, për shumën e mësipërme duhet të paguhet interes i thjeshtë në normën e barabartë me normën margjinale huadhënëse të Bankës Qendrore Evropiane gjatë periudhës së vonesës së pagesës plus tre për qind pikë. </w:t>
      </w:r>
    </w:p>
    <w:p w14:paraId="6CC7E8A3" w14:textId="561D7DA0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Hartuar në anglisht dhe njoftuar</w:t>
      </w:r>
      <w:r w:rsidR="00847738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me shkrim më 6 </w:t>
      </w:r>
      <w:r w:rsidR="00433599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korrik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2023, sipas </w:t>
      </w:r>
      <w:r w:rsidR="00433599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rregullit </w:t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77§§2 dhe 3 të Rregullores së Gjykatës. </w:t>
      </w:r>
    </w:p>
    <w:p w14:paraId="4C34AED3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C23A700" w14:textId="54001FC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>Viktoriya Maradudina</w:t>
      </w:r>
      <w:r w:rsidR="00847738"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 </w:t>
      </w:r>
      <w:r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="000B5E0D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 </w:t>
      </w:r>
      <w:r w:rsidR="000B5E0D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Pr="00847738">
        <w:rPr>
          <w:rFonts w:ascii="Garamond" w:hAnsi="Garamond" w:cs="Times New Roman"/>
          <w:b/>
          <w:color w:val="000000"/>
          <w:sz w:val="24"/>
          <w:szCs w:val="24"/>
          <w:lang w:val="sq-AL"/>
        </w:rPr>
        <w:t>Ioannis Ktistakis</w:t>
      </w:r>
    </w:p>
    <w:p w14:paraId="1ECA7661" w14:textId="6C38A433" w:rsidR="00386A6A" w:rsidRPr="00847738" w:rsidRDefault="00433599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>ZËVENDËSREGJISTRAR I PËRKOHSHËM</w:t>
      </w:r>
      <w:r w:rsidR="00847738"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0B5E0D">
        <w:rPr>
          <w:rFonts w:ascii="Garamond" w:hAnsi="Garamond" w:cs="Times New Roman"/>
          <w:color w:val="000000"/>
          <w:sz w:val="24"/>
          <w:szCs w:val="24"/>
          <w:lang w:val="sq-AL"/>
        </w:rPr>
        <w:tab/>
      </w:r>
      <w:r w:rsidR="000B5E0D">
        <w:rPr>
          <w:rFonts w:ascii="Garamond" w:hAnsi="Garamond" w:cs="Times New Roman"/>
          <w:color w:val="000000"/>
          <w:sz w:val="24"/>
          <w:szCs w:val="24"/>
          <w:lang w:val="sq-AL"/>
        </w:rPr>
        <w:tab/>
      </w:r>
      <w:r w:rsidRPr="0084773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KRYETAR </w:t>
      </w:r>
    </w:p>
    <w:p w14:paraId="582C36BC" w14:textId="77777777" w:rsidR="00386A6A" w:rsidRPr="00847738" w:rsidRDefault="00386A6A" w:rsidP="00386A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33CBFC9" w14:textId="77777777" w:rsidR="00386A6A" w:rsidRPr="00847738" w:rsidRDefault="00386A6A" w:rsidP="00386A6A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3C9654AA" w14:textId="77777777" w:rsidR="00386A6A" w:rsidRPr="00847738" w:rsidRDefault="00386A6A" w:rsidP="00386A6A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6E3AE502" w14:textId="77777777" w:rsidR="00386A6A" w:rsidRPr="00847738" w:rsidRDefault="00386A6A" w:rsidP="00386A6A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6470631A" w14:textId="77777777" w:rsidR="00386A6A" w:rsidRPr="00847738" w:rsidRDefault="00386A6A" w:rsidP="00386A6A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4696D382" w14:textId="77777777" w:rsidR="00386A6A" w:rsidRPr="00847738" w:rsidRDefault="00386A6A" w:rsidP="00386A6A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636D8B17" w14:textId="3F8A65A0" w:rsidR="00433599" w:rsidRPr="00847738" w:rsidRDefault="00433599" w:rsidP="00386A6A">
      <w:pPr>
        <w:pStyle w:val="JuPara"/>
        <w:ind w:firstLine="0"/>
        <w:jc w:val="center"/>
        <w:rPr>
          <w:rFonts w:ascii="Garamond" w:hAnsi="Garamond" w:cstheme="minorHAnsi"/>
          <w:bCs/>
          <w:iCs/>
        </w:rPr>
      </w:pPr>
    </w:p>
    <w:p w14:paraId="233CEDC2" w14:textId="19B22CCE" w:rsidR="00386A6A" w:rsidRPr="00E92F95" w:rsidRDefault="00962D51" w:rsidP="00386A6A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  <w:r w:rsidRPr="00E92F95">
        <w:rPr>
          <w:rFonts w:ascii="Garamond" w:hAnsi="Garamond" w:cstheme="minorHAnsi"/>
          <w:bCs/>
          <w:iCs/>
          <w:sz w:val="20"/>
        </w:rPr>
        <w:t>SHTOJCË</w:t>
      </w:r>
    </w:p>
    <w:p w14:paraId="7379E28C" w14:textId="682EDE91" w:rsidR="00386A6A" w:rsidRPr="00E92F95" w:rsidRDefault="00962D51" w:rsidP="00386A6A">
      <w:pPr>
        <w:pStyle w:val="JuPara"/>
        <w:ind w:firstLine="0"/>
        <w:jc w:val="center"/>
        <w:rPr>
          <w:rFonts w:ascii="Garamond" w:hAnsi="Garamond" w:cstheme="minorHAnsi"/>
          <w:iCs/>
          <w:sz w:val="20"/>
        </w:rPr>
      </w:pPr>
      <w:r w:rsidRPr="00E92F95">
        <w:rPr>
          <w:rFonts w:ascii="Garamond" w:hAnsi="Garamond" w:cstheme="minorHAnsi"/>
          <w:iCs/>
          <w:sz w:val="20"/>
        </w:rPr>
        <w:t>LISTA E KËRKUESVE QË PARAQESIN ANKESAT NË MBËSHTETJE TË NENIT 6 § 1 TË KONVENTËS</w:t>
      </w:r>
    </w:p>
    <w:p w14:paraId="25F5021B" w14:textId="63617346" w:rsidR="00386A6A" w:rsidRPr="00E92F95" w:rsidRDefault="00962D51" w:rsidP="00386A6A">
      <w:pPr>
        <w:pStyle w:val="JuPara"/>
        <w:ind w:firstLine="0"/>
        <w:jc w:val="center"/>
        <w:rPr>
          <w:rFonts w:ascii="Garamond" w:hAnsi="Garamond" w:cstheme="minorHAnsi"/>
          <w:iCs/>
          <w:sz w:val="20"/>
        </w:rPr>
      </w:pPr>
      <w:r w:rsidRPr="00E92F95">
        <w:rPr>
          <w:rFonts w:ascii="Garamond" w:hAnsi="Garamond" w:cstheme="minorHAnsi"/>
          <w:iCs/>
          <w:sz w:val="20"/>
        </w:rPr>
        <w:t>(MOSEKZEKUTIM OSE EKZEKUTIM I VONUAR I VENDIMEVE VENDËSE)</w:t>
      </w:r>
    </w:p>
    <w:tbl>
      <w:tblPr>
        <w:tblStyle w:val="TableGrid"/>
        <w:tblpPr w:leftFromText="180" w:rightFromText="180" w:vertAnchor="text" w:horzAnchor="margin" w:tblpXSpec="center" w:tblpY="179"/>
        <w:tblW w:w="10233" w:type="dxa"/>
        <w:tblLook w:val="04A0" w:firstRow="1" w:lastRow="0" w:firstColumn="1" w:lastColumn="0" w:noHBand="0" w:noVBand="1"/>
      </w:tblPr>
      <w:tblGrid>
        <w:gridCol w:w="1128"/>
        <w:gridCol w:w="1816"/>
        <w:gridCol w:w="1395"/>
        <w:gridCol w:w="1327"/>
        <w:gridCol w:w="1572"/>
        <w:gridCol w:w="1601"/>
        <w:gridCol w:w="1394"/>
      </w:tblGrid>
      <w:tr w:rsidR="00386A6A" w:rsidRPr="00847738" w14:paraId="67B42368" w14:textId="77777777" w:rsidTr="00962D51">
        <w:tc>
          <w:tcPr>
            <w:tcW w:w="1128" w:type="dxa"/>
            <w:vAlign w:val="center"/>
          </w:tcPr>
          <w:p w14:paraId="435E995B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Nr. i kërkesës</w:t>
            </w:r>
          </w:p>
          <w:p w14:paraId="1F2DFFD8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Data e dorëzimit</w:t>
            </w:r>
          </w:p>
        </w:tc>
        <w:tc>
          <w:tcPr>
            <w:tcW w:w="1816" w:type="dxa"/>
            <w:vAlign w:val="center"/>
          </w:tcPr>
          <w:p w14:paraId="42BCB565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Emri i kërkuesit</w:t>
            </w:r>
          </w:p>
          <w:p w14:paraId="5C87B8CF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Viti i lindjes</w:t>
            </w:r>
          </w:p>
        </w:tc>
        <w:tc>
          <w:tcPr>
            <w:tcW w:w="1395" w:type="dxa"/>
            <w:vAlign w:val="center"/>
          </w:tcPr>
          <w:p w14:paraId="6656C73D" w14:textId="77777777" w:rsidR="00962D51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Nisja e procesit ose data e hyrjes në fuqi e Konventës për Shqipërinë </w:t>
            </w:r>
          </w:p>
          <w:p w14:paraId="5DC9C439" w14:textId="0A25C72D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(2 </w:t>
            </w:r>
            <w:r w:rsidR="00962D51"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tetor </w:t>
            </w: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1996)</w:t>
            </w:r>
          </w:p>
        </w:tc>
        <w:tc>
          <w:tcPr>
            <w:tcW w:w="1327" w:type="dxa"/>
            <w:vAlign w:val="center"/>
          </w:tcPr>
          <w:p w14:paraId="2079B58C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Përfundimi i procesit</w:t>
            </w:r>
          </w:p>
        </w:tc>
        <w:tc>
          <w:tcPr>
            <w:tcW w:w="1572" w:type="dxa"/>
            <w:vAlign w:val="center"/>
          </w:tcPr>
          <w:p w14:paraId="7836727B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Kohëzgjatja në total</w:t>
            </w:r>
          </w:p>
          <w:p w14:paraId="5BD2C27B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Nivelet e juridiksionit</w:t>
            </w:r>
          </w:p>
        </w:tc>
        <w:tc>
          <w:tcPr>
            <w:tcW w:w="1601" w:type="dxa"/>
            <w:vAlign w:val="center"/>
          </w:tcPr>
          <w:p w14:paraId="3F7BD4CE" w14:textId="77777777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Ankesa të tjera sipas praktikës gjyqësore të konsoliduar</w:t>
            </w:r>
          </w:p>
        </w:tc>
        <w:tc>
          <w:tcPr>
            <w:tcW w:w="1394" w:type="dxa"/>
            <w:vAlign w:val="center"/>
          </w:tcPr>
          <w:p w14:paraId="0C9FC0CD" w14:textId="1AAAD681" w:rsidR="00386A6A" w:rsidRPr="00847738" w:rsidRDefault="00386A6A" w:rsidP="00962D51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Shuma akorduar për dëm jopasuror dhe kostot dhe shpenzimet për kërkues (në euro)</w:t>
            </w:r>
            <w:r w:rsidRPr="00847738">
              <w:rPr>
                <w:rStyle w:val="FootnoteReference"/>
                <w:rFonts w:ascii="Garamond" w:hAnsi="Garamond" w:cstheme="minorHAnsi"/>
                <w:b/>
                <w:bCs/>
                <w:iCs/>
                <w:sz w:val="20"/>
              </w:rPr>
              <w:footnoteReference w:id="2"/>
            </w:r>
          </w:p>
        </w:tc>
      </w:tr>
      <w:tr w:rsidR="00386A6A" w:rsidRPr="00847738" w14:paraId="242432FF" w14:textId="77777777" w:rsidTr="00386A6A">
        <w:tc>
          <w:tcPr>
            <w:tcW w:w="1128" w:type="dxa"/>
          </w:tcPr>
          <w:p w14:paraId="04BF29B2" w14:textId="77777777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72348/11</w:t>
            </w:r>
          </w:p>
          <w:p w14:paraId="34AF4E22" w14:textId="47D2EEDB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10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.</w:t>
            </w:r>
            <w:r w:rsidRPr="00847738">
              <w:rPr>
                <w:rFonts w:ascii="Garamond" w:hAnsi="Garamond" w:cstheme="minorHAnsi"/>
                <w:iCs/>
                <w:sz w:val="20"/>
              </w:rPr>
              <w:t>11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.</w:t>
            </w:r>
            <w:r w:rsidRPr="00847738">
              <w:rPr>
                <w:rFonts w:ascii="Garamond" w:hAnsi="Garamond" w:cstheme="minorHAnsi"/>
                <w:iCs/>
                <w:sz w:val="20"/>
              </w:rPr>
              <w:t>2011</w:t>
            </w:r>
          </w:p>
        </w:tc>
        <w:tc>
          <w:tcPr>
            <w:tcW w:w="1816" w:type="dxa"/>
          </w:tcPr>
          <w:p w14:paraId="4455383B" w14:textId="77777777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847738">
              <w:rPr>
                <w:rFonts w:ascii="Garamond" w:hAnsi="Garamond" w:cstheme="minorHAnsi"/>
                <w:b/>
                <w:bCs/>
                <w:iCs/>
                <w:sz w:val="20"/>
              </w:rPr>
              <w:t>Grigor MULLA</w:t>
            </w:r>
          </w:p>
          <w:p w14:paraId="145B0D06" w14:textId="77777777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1933</w:t>
            </w:r>
          </w:p>
        </w:tc>
        <w:tc>
          <w:tcPr>
            <w:tcW w:w="1395" w:type="dxa"/>
          </w:tcPr>
          <w:p w14:paraId="040F4DA4" w14:textId="3A46F762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21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.</w:t>
            </w:r>
            <w:r w:rsidRPr="00847738">
              <w:rPr>
                <w:rFonts w:ascii="Garamond" w:hAnsi="Garamond" w:cstheme="minorHAnsi"/>
                <w:iCs/>
                <w:sz w:val="20"/>
              </w:rPr>
              <w:t>11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.</w:t>
            </w:r>
            <w:r w:rsidRPr="00847738">
              <w:rPr>
                <w:rFonts w:ascii="Garamond" w:hAnsi="Garamond" w:cstheme="minorHAnsi"/>
                <w:iCs/>
                <w:sz w:val="20"/>
              </w:rPr>
              <w:t>2003</w:t>
            </w:r>
          </w:p>
        </w:tc>
        <w:tc>
          <w:tcPr>
            <w:tcW w:w="1327" w:type="dxa"/>
          </w:tcPr>
          <w:p w14:paraId="5A22315E" w14:textId="53751C1A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18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.</w:t>
            </w:r>
            <w:r w:rsidRPr="00847738">
              <w:rPr>
                <w:rFonts w:ascii="Garamond" w:hAnsi="Garamond" w:cstheme="minorHAnsi"/>
                <w:iCs/>
                <w:sz w:val="20"/>
              </w:rPr>
              <w:t>5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.</w:t>
            </w:r>
            <w:r w:rsidRPr="00847738">
              <w:rPr>
                <w:rFonts w:ascii="Garamond" w:hAnsi="Garamond" w:cstheme="minorHAnsi"/>
                <w:iCs/>
                <w:sz w:val="20"/>
              </w:rPr>
              <w:t>2011</w:t>
            </w:r>
          </w:p>
        </w:tc>
        <w:tc>
          <w:tcPr>
            <w:tcW w:w="1572" w:type="dxa"/>
          </w:tcPr>
          <w:p w14:paraId="6CCCC41A" w14:textId="736CA025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7 v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jet</w:t>
            </w:r>
            <w:r w:rsidRPr="00847738">
              <w:rPr>
                <w:rFonts w:ascii="Garamond" w:hAnsi="Garamond" w:cstheme="minorHAnsi"/>
                <w:iCs/>
                <w:sz w:val="20"/>
              </w:rPr>
              <w:t xml:space="preserve"> dhe 5 muaj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,</w:t>
            </w:r>
            <w:r w:rsidRPr="00847738">
              <w:rPr>
                <w:rFonts w:ascii="Garamond" w:hAnsi="Garamond" w:cstheme="minorHAnsi"/>
                <w:iCs/>
                <w:sz w:val="20"/>
              </w:rPr>
              <w:t xml:space="preserve"> dhe 28 ditë</w:t>
            </w:r>
          </w:p>
          <w:p w14:paraId="068C1B4D" w14:textId="77777777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4 nivele të juridiksionit</w:t>
            </w:r>
          </w:p>
        </w:tc>
        <w:tc>
          <w:tcPr>
            <w:tcW w:w="1601" w:type="dxa"/>
          </w:tcPr>
          <w:p w14:paraId="48000435" w14:textId="101B4244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 xml:space="preserve">Neni 13: mungesë e mjetit efektiv në ligjin 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vendë</w:t>
            </w:r>
            <w:r w:rsidRPr="00847738">
              <w:rPr>
                <w:rFonts w:ascii="Garamond" w:hAnsi="Garamond" w:cstheme="minorHAnsi"/>
                <w:iCs/>
                <w:sz w:val="20"/>
              </w:rPr>
              <w:t xml:space="preserve">s për t’u ankuar për kohëzgjatjen e tepërt të procesit. </w:t>
            </w:r>
          </w:p>
          <w:p w14:paraId="43AE37AD" w14:textId="77777777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</w:p>
          <w:p w14:paraId="0D9ABA32" w14:textId="71A9D059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Prot. 1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>,</w:t>
            </w:r>
            <w:r w:rsidRPr="00847738">
              <w:rPr>
                <w:rFonts w:ascii="Garamond" w:hAnsi="Garamond" w:cstheme="minorHAnsi"/>
                <w:iCs/>
                <w:sz w:val="20"/>
              </w:rPr>
              <w:t xml:space="preserve"> </w:t>
            </w:r>
            <w:r w:rsidR="00962D51" w:rsidRPr="00847738">
              <w:rPr>
                <w:rFonts w:ascii="Garamond" w:hAnsi="Garamond" w:cstheme="minorHAnsi"/>
                <w:iCs/>
                <w:sz w:val="20"/>
              </w:rPr>
              <w:t xml:space="preserve">neni </w:t>
            </w:r>
            <w:r w:rsidRPr="00847738">
              <w:rPr>
                <w:rFonts w:ascii="Garamond" w:hAnsi="Garamond" w:cstheme="minorHAnsi"/>
                <w:iCs/>
                <w:sz w:val="20"/>
              </w:rPr>
              <w:t>1 – ndërhyrja në gëzimin e paqtë të pasurive</w:t>
            </w:r>
          </w:p>
        </w:tc>
        <w:tc>
          <w:tcPr>
            <w:tcW w:w="1394" w:type="dxa"/>
          </w:tcPr>
          <w:p w14:paraId="03E5DB8C" w14:textId="77777777" w:rsidR="00386A6A" w:rsidRPr="00847738" w:rsidRDefault="00386A6A" w:rsidP="00386A6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847738">
              <w:rPr>
                <w:rFonts w:ascii="Garamond" w:hAnsi="Garamond" w:cstheme="minorHAnsi"/>
                <w:iCs/>
                <w:sz w:val="20"/>
              </w:rPr>
              <w:t>1,700</w:t>
            </w:r>
          </w:p>
        </w:tc>
      </w:tr>
    </w:tbl>
    <w:p w14:paraId="1BC52FC3" w14:textId="77777777" w:rsidR="00386A6A" w:rsidRPr="00847738" w:rsidRDefault="00386A6A" w:rsidP="00386A6A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sectPr w:rsidR="00386A6A" w:rsidRPr="0084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1806" w14:textId="77777777" w:rsidR="00BA29A9" w:rsidRDefault="00BA29A9" w:rsidP="00386A6A">
      <w:pPr>
        <w:spacing w:after="0" w:line="240" w:lineRule="auto"/>
      </w:pPr>
      <w:r>
        <w:separator/>
      </w:r>
    </w:p>
  </w:endnote>
  <w:endnote w:type="continuationSeparator" w:id="0">
    <w:p w14:paraId="32DF6DC6" w14:textId="77777777" w:rsidR="00BA29A9" w:rsidRDefault="00BA29A9" w:rsidP="00386A6A">
      <w:pPr>
        <w:spacing w:after="0" w:line="240" w:lineRule="auto"/>
      </w:pPr>
      <w:r>
        <w:continuationSeparator/>
      </w:r>
    </w:p>
  </w:endnote>
  <w:endnote w:type="continuationNotice" w:id="1">
    <w:p w14:paraId="7F96D060" w14:textId="77777777" w:rsidR="00BA29A9" w:rsidRDefault="00BA2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A92C" w14:textId="77777777" w:rsidR="00BA29A9" w:rsidRDefault="00BA29A9" w:rsidP="00386A6A">
      <w:pPr>
        <w:spacing w:after="0" w:line="240" w:lineRule="auto"/>
      </w:pPr>
      <w:r>
        <w:separator/>
      </w:r>
    </w:p>
  </w:footnote>
  <w:footnote w:type="continuationSeparator" w:id="0">
    <w:p w14:paraId="08E28589" w14:textId="77777777" w:rsidR="00BA29A9" w:rsidRDefault="00BA29A9" w:rsidP="00386A6A">
      <w:pPr>
        <w:spacing w:after="0" w:line="240" w:lineRule="auto"/>
      </w:pPr>
      <w:r>
        <w:continuationSeparator/>
      </w:r>
    </w:p>
  </w:footnote>
  <w:footnote w:type="continuationNotice" w:id="1">
    <w:p w14:paraId="5740AFAF" w14:textId="77777777" w:rsidR="00BA29A9" w:rsidRDefault="00BA29A9">
      <w:pPr>
        <w:spacing w:after="0" w:line="240" w:lineRule="auto"/>
      </w:pPr>
    </w:p>
  </w:footnote>
  <w:footnote w:id="2">
    <w:p w14:paraId="2EF2B0E2" w14:textId="19FF1459" w:rsidR="00F64533" w:rsidRPr="00962D51" w:rsidRDefault="00F64533" w:rsidP="00386A6A">
      <w:pPr>
        <w:pStyle w:val="FootnoteText"/>
        <w:rPr>
          <w:rFonts w:ascii="Garamond" w:hAnsi="Garamond"/>
          <w:lang w:val="en-US"/>
        </w:rPr>
      </w:pPr>
      <w:r w:rsidRPr="00962D51">
        <w:rPr>
          <w:rStyle w:val="FootnoteReference"/>
          <w:rFonts w:ascii="Garamond" w:hAnsi="Garamond"/>
        </w:rPr>
        <w:footnoteRef/>
      </w:r>
      <w:r w:rsidRPr="00962D51">
        <w:rPr>
          <w:rFonts w:ascii="Garamond" w:hAnsi="Garamond"/>
        </w:rPr>
        <w:t xml:space="preserve"> Plus çdo taksë që mund t’</w:t>
      </w:r>
      <w:r>
        <w:rPr>
          <w:rFonts w:ascii="Garamond" w:hAnsi="Garamond"/>
        </w:rPr>
        <w:t>u</w:t>
      </w:r>
      <w:r w:rsidRPr="00962D51">
        <w:rPr>
          <w:rFonts w:ascii="Garamond" w:hAnsi="Garamond"/>
        </w:rPr>
        <w:t xml:space="preserve"> tarifohet kërkuesve.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8"/>
    <w:rsid w:val="00012745"/>
    <w:rsid w:val="00031098"/>
    <w:rsid w:val="000427A6"/>
    <w:rsid w:val="000458EB"/>
    <w:rsid w:val="0006026E"/>
    <w:rsid w:val="00075D23"/>
    <w:rsid w:val="00090D05"/>
    <w:rsid w:val="0009171B"/>
    <w:rsid w:val="000956ED"/>
    <w:rsid w:val="000A39B7"/>
    <w:rsid w:val="000A77D9"/>
    <w:rsid w:val="000B5E0D"/>
    <w:rsid w:val="000C3D4A"/>
    <w:rsid w:val="000C55A5"/>
    <w:rsid w:val="000D7F01"/>
    <w:rsid w:val="001149C8"/>
    <w:rsid w:val="00121461"/>
    <w:rsid w:val="0012538B"/>
    <w:rsid w:val="001268DB"/>
    <w:rsid w:val="00135329"/>
    <w:rsid w:val="0014112D"/>
    <w:rsid w:val="00141B18"/>
    <w:rsid w:val="00142C2B"/>
    <w:rsid w:val="00160647"/>
    <w:rsid w:val="00160E68"/>
    <w:rsid w:val="00167FB5"/>
    <w:rsid w:val="0017050C"/>
    <w:rsid w:val="00175424"/>
    <w:rsid w:val="00183018"/>
    <w:rsid w:val="00190C3D"/>
    <w:rsid w:val="001944EB"/>
    <w:rsid w:val="0019635C"/>
    <w:rsid w:val="001A2195"/>
    <w:rsid w:val="001C0519"/>
    <w:rsid w:val="001D2ABC"/>
    <w:rsid w:val="001D2F1F"/>
    <w:rsid w:val="001D3A2F"/>
    <w:rsid w:val="00204F93"/>
    <w:rsid w:val="00213728"/>
    <w:rsid w:val="00233C93"/>
    <w:rsid w:val="00234715"/>
    <w:rsid w:val="00252C2A"/>
    <w:rsid w:val="00257E0A"/>
    <w:rsid w:val="00263D3A"/>
    <w:rsid w:val="002821F2"/>
    <w:rsid w:val="00283678"/>
    <w:rsid w:val="002929DC"/>
    <w:rsid w:val="00295A26"/>
    <w:rsid w:val="002A23A7"/>
    <w:rsid w:val="002A432E"/>
    <w:rsid w:val="002B1C09"/>
    <w:rsid w:val="002B7B82"/>
    <w:rsid w:val="002C3DC5"/>
    <w:rsid w:val="002C5C2B"/>
    <w:rsid w:val="002C7879"/>
    <w:rsid w:val="002D71C7"/>
    <w:rsid w:val="002E2CDE"/>
    <w:rsid w:val="002E49F7"/>
    <w:rsid w:val="002F0DDD"/>
    <w:rsid w:val="00321014"/>
    <w:rsid w:val="003346E6"/>
    <w:rsid w:val="00334BDB"/>
    <w:rsid w:val="00336C31"/>
    <w:rsid w:val="00345F96"/>
    <w:rsid w:val="0034608A"/>
    <w:rsid w:val="00346276"/>
    <w:rsid w:val="00354F7A"/>
    <w:rsid w:val="003661C2"/>
    <w:rsid w:val="003673CA"/>
    <w:rsid w:val="00373E4A"/>
    <w:rsid w:val="00375DE4"/>
    <w:rsid w:val="00386A6A"/>
    <w:rsid w:val="00390D00"/>
    <w:rsid w:val="00391626"/>
    <w:rsid w:val="003956A3"/>
    <w:rsid w:val="00397301"/>
    <w:rsid w:val="003A0634"/>
    <w:rsid w:val="003A40CD"/>
    <w:rsid w:val="003A489E"/>
    <w:rsid w:val="003A6CF4"/>
    <w:rsid w:val="003B4312"/>
    <w:rsid w:val="003B57C7"/>
    <w:rsid w:val="003D12F1"/>
    <w:rsid w:val="003D54AD"/>
    <w:rsid w:val="003D693A"/>
    <w:rsid w:val="003E0134"/>
    <w:rsid w:val="003E610B"/>
    <w:rsid w:val="003E6C19"/>
    <w:rsid w:val="00421355"/>
    <w:rsid w:val="00425784"/>
    <w:rsid w:val="00433599"/>
    <w:rsid w:val="004518B7"/>
    <w:rsid w:val="00452990"/>
    <w:rsid w:val="004604CD"/>
    <w:rsid w:val="00462CFB"/>
    <w:rsid w:val="004840E1"/>
    <w:rsid w:val="00486681"/>
    <w:rsid w:val="00490071"/>
    <w:rsid w:val="004948FB"/>
    <w:rsid w:val="00497200"/>
    <w:rsid w:val="004A2477"/>
    <w:rsid w:val="004C0C4E"/>
    <w:rsid w:val="004C25A2"/>
    <w:rsid w:val="004C3178"/>
    <w:rsid w:val="004C691E"/>
    <w:rsid w:val="004C7DEC"/>
    <w:rsid w:val="004D4267"/>
    <w:rsid w:val="00504AE4"/>
    <w:rsid w:val="00505829"/>
    <w:rsid w:val="00523B5F"/>
    <w:rsid w:val="005305D6"/>
    <w:rsid w:val="00551CD1"/>
    <w:rsid w:val="0055542F"/>
    <w:rsid w:val="00567F21"/>
    <w:rsid w:val="00571959"/>
    <w:rsid w:val="00571B80"/>
    <w:rsid w:val="0058238F"/>
    <w:rsid w:val="00592C00"/>
    <w:rsid w:val="00597694"/>
    <w:rsid w:val="005B0B35"/>
    <w:rsid w:val="005B5967"/>
    <w:rsid w:val="005B7AE1"/>
    <w:rsid w:val="005C301C"/>
    <w:rsid w:val="005E27BA"/>
    <w:rsid w:val="005F5040"/>
    <w:rsid w:val="006032E2"/>
    <w:rsid w:val="00615BAF"/>
    <w:rsid w:val="0061609B"/>
    <w:rsid w:val="00623E07"/>
    <w:rsid w:val="00632A0C"/>
    <w:rsid w:val="006379E9"/>
    <w:rsid w:val="0064104A"/>
    <w:rsid w:val="006425E0"/>
    <w:rsid w:val="00643AA1"/>
    <w:rsid w:val="00666247"/>
    <w:rsid w:val="00677AD4"/>
    <w:rsid w:val="00681454"/>
    <w:rsid w:val="00687BAF"/>
    <w:rsid w:val="006945EE"/>
    <w:rsid w:val="006A512D"/>
    <w:rsid w:val="006C5CF7"/>
    <w:rsid w:val="006D77AF"/>
    <w:rsid w:val="006E6768"/>
    <w:rsid w:val="00703044"/>
    <w:rsid w:val="00710CF1"/>
    <w:rsid w:val="0072369E"/>
    <w:rsid w:val="0073468F"/>
    <w:rsid w:val="00773738"/>
    <w:rsid w:val="0077527A"/>
    <w:rsid w:val="00775B4C"/>
    <w:rsid w:val="007A0E53"/>
    <w:rsid w:val="007A6FEA"/>
    <w:rsid w:val="007C2D06"/>
    <w:rsid w:val="007D20DA"/>
    <w:rsid w:val="007D4E26"/>
    <w:rsid w:val="007E4A74"/>
    <w:rsid w:val="007F1F00"/>
    <w:rsid w:val="007F20FF"/>
    <w:rsid w:val="0080141E"/>
    <w:rsid w:val="00801642"/>
    <w:rsid w:val="008037E4"/>
    <w:rsid w:val="00804031"/>
    <w:rsid w:val="008044AD"/>
    <w:rsid w:val="00847738"/>
    <w:rsid w:val="00867646"/>
    <w:rsid w:val="0087040E"/>
    <w:rsid w:val="00886A96"/>
    <w:rsid w:val="00890464"/>
    <w:rsid w:val="00893102"/>
    <w:rsid w:val="008A2062"/>
    <w:rsid w:val="008A7BB6"/>
    <w:rsid w:val="008C2627"/>
    <w:rsid w:val="008D0BB7"/>
    <w:rsid w:val="008D0DF7"/>
    <w:rsid w:val="008D2BEA"/>
    <w:rsid w:val="008E44CB"/>
    <w:rsid w:val="008F61C7"/>
    <w:rsid w:val="00915403"/>
    <w:rsid w:val="00933503"/>
    <w:rsid w:val="009347C9"/>
    <w:rsid w:val="00943A32"/>
    <w:rsid w:val="00950BCD"/>
    <w:rsid w:val="009547F5"/>
    <w:rsid w:val="00962D51"/>
    <w:rsid w:val="00983036"/>
    <w:rsid w:val="0098745D"/>
    <w:rsid w:val="009954E6"/>
    <w:rsid w:val="009B2B45"/>
    <w:rsid w:val="009D4FCF"/>
    <w:rsid w:val="009E40DB"/>
    <w:rsid w:val="009E4E0D"/>
    <w:rsid w:val="00A0127D"/>
    <w:rsid w:val="00A0283C"/>
    <w:rsid w:val="00A20C98"/>
    <w:rsid w:val="00A24CF9"/>
    <w:rsid w:val="00A25B9A"/>
    <w:rsid w:val="00A32BBB"/>
    <w:rsid w:val="00A32E87"/>
    <w:rsid w:val="00A4586F"/>
    <w:rsid w:val="00A46623"/>
    <w:rsid w:val="00A52EE5"/>
    <w:rsid w:val="00A6527C"/>
    <w:rsid w:val="00A72D95"/>
    <w:rsid w:val="00A925C9"/>
    <w:rsid w:val="00AA2B7C"/>
    <w:rsid w:val="00AA3CC7"/>
    <w:rsid w:val="00AA47BF"/>
    <w:rsid w:val="00AA6249"/>
    <w:rsid w:val="00AC1022"/>
    <w:rsid w:val="00AC7415"/>
    <w:rsid w:val="00AC7C81"/>
    <w:rsid w:val="00AD2604"/>
    <w:rsid w:val="00AD3E46"/>
    <w:rsid w:val="00AD7C20"/>
    <w:rsid w:val="00B034C3"/>
    <w:rsid w:val="00B11BC7"/>
    <w:rsid w:val="00B1293F"/>
    <w:rsid w:val="00B33946"/>
    <w:rsid w:val="00B416C3"/>
    <w:rsid w:val="00B4296B"/>
    <w:rsid w:val="00B549C2"/>
    <w:rsid w:val="00B56218"/>
    <w:rsid w:val="00B63506"/>
    <w:rsid w:val="00B70659"/>
    <w:rsid w:val="00B71250"/>
    <w:rsid w:val="00B7328E"/>
    <w:rsid w:val="00B76F3D"/>
    <w:rsid w:val="00B848A9"/>
    <w:rsid w:val="00B86377"/>
    <w:rsid w:val="00B86D15"/>
    <w:rsid w:val="00BA244C"/>
    <w:rsid w:val="00BA29A9"/>
    <w:rsid w:val="00BA2E85"/>
    <w:rsid w:val="00BB55ED"/>
    <w:rsid w:val="00BC7BAD"/>
    <w:rsid w:val="00BD0463"/>
    <w:rsid w:val="00BD0BEA"/>
    <w:rsid w:val="00BD36DF"/>
    <w:rsid w:val="00BE3604"/>
    <w:rsid w:val="00BF53BA"/>
    <w:rsid w:val="00C042A6"/>
    <w:rsid w:val="00C0464F"/>
    <w:rsid w:val="00C07057"/>
    <w:rsid w:val="00C1476F"/>
    <w:rsid w:val="00C20549"/>
    <w:rsid w:val="00C30D0F"/>
    <w:rsid w:val="00C3572F"/>
    <w:rsid w:val="00C45955"/>
    <w:rsid w:val="00C5044F"/>
    <w:rsid w:val="00C5501C"/>
    <w:rsid w:val="00C634C1"/>
    <w:rsid w:val="00C71BED"/>
    <w:rsid w:val="00C72247"/>
    <w:rsid w:val="00C87472"/>
    <w:rsid w:val="00CA3579"/>
    <w:rsid w:val="00CA67DB"/>
    <w:rsid w:val="00CA70A2"/>
    <w:rsid w:val="00CB54DF"/>
    <w:rsid w:val="00CC12D4"/>
    <w:rsid w:val="00CD2E55"/>
    <w:rsid w:val="00CD3537"/>
    <w:rsid w:val="00CE2A8A"/>
    <w:rsid w:val="00CE5249"/>
    <w:rsid w:val="00CF257C"/>
    <w:rsid w:val="00CF6387"/>
    <w:rsid w:val="00D12A76"/>
    <w:rsid w:val="00D20D88"/>
    <w:rsid w:val="00D231EA"/>
    <w:rsid w:val="00D63ABD"/>
    <w:rsid w:val="00D664EF"/>
    <w:rsid w:val="00D67248"/>
    <w:rsid w:val="00D70F22"/>
    <w:rsid w:val="00D77F86"/>
    <w:rsid w:val="00D8097B"/>
    <w:rsid w:val="00D905FB"/>
    <w:rsid w:val="00DA0E6B"/>
    <w:rsid w:val="00DA3185"/>
    <w:rsid w:val="00DA4EAA"/>
    <w:rsid w:val="00DB1844"/>
    <w:rsid w:val="00DE03AC"/>
    <w:rsid w:val="00DE1916"/>
    <w:rsid w:val="00E04762"/>
    <w:rsid w:val="00E05E21"/>
    <w:rsid w:val="00E24542"/>
    <w:rsid w:val="00E410D0"/>
    <w:rsid w:val="00E4133D"/>
    <w:rsid w:val="00E458A5"/>
    <w:rsid w:val="00E56153"/>
    <w:rsid w:val="00E61BC2"/>
    <w:rsid w:val="00E702BD"/>
    <w:rsid w:val="00E71C53"/>
    <w:rsid w:val="00E73692"/>
    <w:rsid w:val="00E90C21"/>
    <w:rsid w:val="00E92F95"/>
    <w:rsid w:val="00E944F8"/>
    <w:rsid w:val="00EA2F97"/>
    <w:rsid w:val="00EC5ECD"/>
    <w:rsid w:val="00ED307F"/>
    <w:rsid w:val="00ED57FF"/>
    <w:rsid w:val="00EE4477"/>
    <w:rsid w:val="00EF1574"/>
    <w:rsid w:val="00EF5D20"/>
    <w:rsid w:val="00F41EF8"/>
    <w:rsid w:val="00F50B83"/>
    <w:rsid w:val="00F51CB4"/>
    <w:rsid w:val="00F52037"/>
    <w:rsid w:val="00F56A94"/>
    <w:rsid w:val="00F64533"/>
    <w:rsid w:val="00F67838"/>
    <w:rsid w:val="00F67E1E"/>
    <w:rsid w:val="00F9053B"/>
    <w:rsid w:val="00FB2D9C"/>
    <w:rsid w:val="00FC3948"/>
    <w:rsid w:val="00FC51DA"/>
    <w:rsid w:val="00FC5391"/>
    <w:rsid w:val="00FC6CAA"/>
    <w:rsid w:val="00FD7CC4"/>
    <w:rsid w:val="00FE0BC9"/>
    <w:rsid w:val="00FE24E7"/>
    <w:rsid w:val="00FE32FE"/>
    <w:rsid w:val="00FE408A"/>
    <w:rsid w:val="00FE5DBE"/>
    <w:rsid w:val="00FE5DF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10F1"/>
  <w15:chartTrackingRefBased/>
  <w15:docId w15:val="{87B59054-8908-4E11-9956-B845FFA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Judges">
    <w:name w:val="Ju_Judges"/>
    <w:aliases w:val="_Judges"/>
    <w:basedOn w:val="Normal"/>
    <w:rsid w:val="00386A6A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HTitle">
    <w:name w:val="Dec_H_Title"/>
    <w:aliases w:val="_Title_1"/>
    <w:uiPriority w:val="99"/>
    <w:rsid w:val="00386A6A"/>
    <w:pPr>
      <w:keepNext/>
      <w:keepLines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99"/>
    <w:qFormat/>
    <w:rsid w:val="00386A6A"/>
    <w:pPr>
      <w:autoSpaceDE w:val="0"/>
      <w:autoSpaceDN w:val="0"/>
      <w:adjustRightInd w:val="0"/>
      <w:spacing w:after="0" w:line="240" w:lineRule="auto"/>
    </w:pPr>
    <w:rPr>
      <w:rFonts w:ascii="MS Mincho" w:hAnsi="Times New Roman" w:cs="MS Mincho"/>
      <w:color w:val="000000"/>
    </w:rPr>
  </w:style>
  <w:style w:type="paragraph" w:customStyle="1" w:styleId="JuPara">
    <w:name w:val="Ju_Para"/>
    <w:aliases w:val="_Para"/>
    <w:basedOn w:val="Normal"/>
    <w:link w:val="JuParaChar"/>
    <w:uiPriority w:val="4"/>
    <w:qFormat/>
    <w:rsid w:val="00386A6A"/>
    <w:pPr>
      <w:spacing w:after="0" w:line="240" w:lineRule="auto"/>
      <w:ind w:firstLine="284"/>
      <w:jc w:val="both"/>
    </w:pPr>
    <w:rPr>
      <w:rFonts w:eastAsiaTheme="minorHAnsi"/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386A6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386A6A"/>
    <w:pPr>
      <w:spacing w:after="0" w:line="240" w:lineRule="auto"/>
    </w:pPr>
    <w:rPr>
      <w:rFonts w:eastAsiaTheme="minorHAns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386A6A"/>
    <w:rPr>
      <w:rFonts w:eastAsiaTheme="minorHAnsi"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386A6A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386A6A"/>
    <w:rPr>
      <w:rFonts w:eastAsiaTheme="minorHAnsi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2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678"/>
  </w:style>
  <w:style w:type="paragraph" w:styleId="Footer">
    <w:name w:val="footer"/>
    <w:basedOn w:val="Normal"/>
    <w:link w:val="FooterChar"/>
    <w:uiPriority w:val="99"/>
    <w:semiHidden/>
    <w:unhideWhenUsed/>
    <w:rsid w:val="002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833ACDC1E4A14B51A81EC977534279AD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72348-11</Nr_x002e__x0020_akti>
    <Data_x0020_e_x0020_Krijimit xmlns="0e656187-b300-4fb0-8bf4-3a50f872073c">2023-08-02T11:02:21Z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>http://qbz.gov.al/resource/authority/document-type/vendim</Tipi_x0020_i_x0020_aktit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2023-08-01T22:00:00Z</Date_x0020_protokolli>
    <Titulli xmlns="0e656187-b300-4fb0-8bf4-3a50f872073c">Çështja Mulla kundër Shqipërisë (Kërkesa nr. 72348/11)</Titulli>
    <Modifikuesi xmlns="0e656187-b300-4fb0-8bf4-3a50f872073c">valjeta.kaftalli</Modifikuesi>
    <Nr_x002e__x0020_prot_x0020_QBZ xmlns="0e656187-b300-4fb0-8bf4-3a50f872073c">1215/1</Nr_x002e__x0020_prot_x0020_QBZ>
    <Data_x0020_e_x0020_Modifikimit xmlns="0e656187-b300-4fb0-8bf4-3a50f872073c">2023-08-03T09:39:22Z</Data_x0020_e_x0020_Modifikimit>
    <Dekretuar xmlns="0e656187-b300-4fb0-8bf4-3a50f872073c">false</Dekretuar>
    <Data xmlns="0e656187-b300-4fb0-8bf4-3a50f872073c">2023-07-05T22:00:00Z</Data>
    <Nr_x002e__x0020_protokolli_x0020_i_x0020_aktit xmlns="0e656187-b300-4fb0-8bf4-3a50f872073c">4569/1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DDA05AAD-E79F-4BF6-B279-2FA5E7B43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428A9F-FF08-48E6-A5A2-4C188F77C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63AC8-1D95-4A2A-BDC9-D38C81785D8F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Mulla kundër Shqipërisë (Kërkesa nr. 72348/11)</vt:lpstr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Mulla kundër Shqipërisë (Kërkesa nr. 72348/11)</dc:title>
  <dc:creator>Entela Suli</dc:creator>
  <cp:lastModifiedBy>Jonida Zaharia</cp:lastModifiedBy>
  <cp:revision>2</cp:revision>
  <dcterms:created xsi:type="dcterms:W3CDTF">2024-06-07T09:55:00Z</dcterms:created>
  <dcterms:modified xsi:type="dcterms:W3CDTF">2024-06-07T09:55:00Z</dcterms:modified>
</cp:coreProperties>
</file>