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90325" w14:textId="6E94AFBF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0D299E">
        <w:rPr>
          <w:rFonts w:ascii="Garamond" w:hAnsi="Garamond" w:cs="Times New Roman"/>
          <w:color w:val="000000" w:themeColor="text1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0D299E" w:rsidRPr="000D299E">
        <w:rPr>
          <w:rFonts w:ascii="Garamond" w:hAnsi="Garamond" w:cs="Times New Roman"/>
          <w:color w:val="000000" w:themeColor="text1"/>
          <w:sz w:val="24"/>
          <w:szCs w:val="24"/>
        </w:rPr>
        <w:t>EVROPIANE</w:t>
      </w:r>
      <w:r w:rsidR="004328D9" w:rsidRPr="000D299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 w:themeColor="text1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 w:themeColor="text1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 w:themeColor="text1"/>
          <w:sz w:val="24"/>
          <w:szCs w:val="24"/>
        </w:rPr>
        <w:t>DREJTAVE</w:t>
      </w:r>
      <w:r w:rsidR="004328D9" w:rsidRPr="000D299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 w:themeColor="text1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 w:themeColor="text1"/>
          <w:sz w:val="24"/>
          <w:szCs w:val="24"/>
        </w:rPr>
        <w:t>NJERIUT</w:t>
      </w:r>
    </w:p>
    <w:p w14:paraId="58AA9FA5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4BB6ADD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0D299E">
        <w:rPr>
          <w:rFonts w:ascii="Garamond" w:hAnsi="Garamond" w:cs="Times New Roman"/>
          <w:color w:val="000000" w:themeColor="text1"/>
          <w:sz w:val="24"/>
          <w:szCs w:val="24"/>
        </w:rPr>
        <w:t>SEKSIONI</w:t>
      </w:r>
      <w:r w:rsidR="004328D9" w:rsidRPr="000D299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 w:themeColor="text1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 w:themeColor="text1"/>
          <w:sz w:val="24"/>
          <w:szCs w:val="24"/>
        </w:rPr>
        <w:t>TRETË</w:t>
      </w:r>
    </w:p>
    <w:p w14:paraId="44FF65AB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</w:p>
    <w:p w14:paraId="14EC329B" w14:textId="592737AF" w:rsidR="000C73AE" w:rsidRPr="00EE160A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 w:rsidRPr="00EE160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ÇËSHTJA</w:t>
      </w:r>
      <w:r w:rsidR="004328D9" w:rsidRPr="00EE160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Pr="00EE160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NIKA</w:t>
      </w:r>
      <w:r w:rsidR="004328D9" w:rsidRPr="00EE160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 </w:t>
      </w:r>
      <w:r w:rsidR="000D299E" w:rsidRPr="00EE160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 xml:space="preserve">KUNDËR </w:t>
      </w:r>
      <w:r w:rsidRPr="00EE160A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SHQIPËRISË</w:t>
      </w:r>
    </w:p>
    <w:p w14:paraId="445E23D9" w14:textId="77777777" w:rsidR="000C73AE" w:rsidRPr="000D299E" w:rsidRDefault="000C73AE" w:rsidP="000C73AE">
      <w:pPr>
        <w:tabs>
          <w:tab w:val="right" w:pos="792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i/>
          <w:iCs/>
          <w:color w:val="000000" w:themeColor="text1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>(Kërkesa</w:t>
      </w:r>
      <w:r w:rsidR="004328D9" w:rsidRPr="000D299E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 w:themeColor="text1"/>
          <w:sz w:val="24"/>
          <w:szCs w:val="24"/>
        </w:rPr>
        <w:t>1049/17)</w:t>
      </w:r>
    </w:p>
    <w:p w14:paraId="6A9216DE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01843717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0D299E">
        <w:rPr>
          <w:rFonts w:ascii="Garamond" w:hAnsi="Garamond" w:cs="Times New Roman"/>
          <w:color w:val="000000" w:themeColor="text1"/>
          <w:sz w:val="24"/>
          <w:szCs w:val="24"/>
        </w:rPr>
        <w:t>VENDIM</w:t>
      </w:r>
    </w:p>
    <w:p w14:paraId="48422B2C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2D7F0B35" w14:textId="546ED8F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(procedural)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afërmit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politike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degjeneroi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C17A7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ndëshkimin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Mangësi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fazat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hershme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C17A7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kthesë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terren</w:t>
      </w:r>
      <w:r w:rsidR="00C17A7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Mangësi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specifike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afërmit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</w:t>
      </w:r>
      <w:r w:rsidR="00C17A7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7DDDB57C" w14:textId="187A9C90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(material)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pajustifikuar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C17A7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Mangësi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kuadrin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potencialisht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operacionet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turmave</w:t>
      </w:r>
      <w:r w:rsidR="00C17A79">
        <w:rPr>
          <w:rFonts w:ascii="Garamond" w:hAnsi="Garamond" w:cs="Times New Roman"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vetvete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legjitime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C17A7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lejon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17A79">
        <w:rPr>
          <w:rFonts w:ascii="Garamond" w:hAnsi="Garamond" w:cs="Times New Roman"/>
          <w:color w:val="000000"/>
          <w:sz w:val="24"/>
          <w:szCs w:val="24"/>
        </w:rPr>
        <w:t xml:space="preserve">e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tillë</w:t>
      </w:r>
      <w:r w:rsidR="00C17A7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jashtëzakonshme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justifikojnë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</w:t>
      </w:r>
      <w:r w:rsidR="00C17A7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Legjislacioni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autorizon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mangësi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C17A7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Probleme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operacioneve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D884FF5" w14:textId="322B74EE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individuale</w:t>
      </w:r>
      <w:r w:rsidR="00C17A7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•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vazhdojnë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përpjekjet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qartësimin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afërmit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ndëshkimin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</w:t>
      </w:r>
      <w:r w:rsidR="00C17A79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317031DD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</w:rPr>
      </w:pPr>
    </w:p>
    <w:p w14:paraId="3835A62E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STRASBURG</w:t>
      </w:r>
    </w:p>
    <w:p w14:paraId="7D3503B4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2023</w:t>
      </w:r>
    </w:p>
    <w:p w14:paraId="75DC1E27" w14:textId="0E49FA2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Ky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vendim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bëhet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përfundimtar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përcaktuara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nenin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44</w:t>
      </w:r>
      <w:r w:rsidR="00503BDC">
        <w:rPr>
          <w:rFonts w:ascii="Garamond" w:hAnsi="Garamond" w:cs="Times New Roman"/>
          <w:i/>
          <w:iCs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paragrafi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Konventës.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nënshtrohet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rishikim</w:t>
      </w:r>
      <w:r w:rsidR="00503BDC">
        <w:rPr>
          <w:rFonts w:ascii="Garamond" w:hAnsi="Garamond" w:cs="Times New Roman"/>
          <w:i/>
          <w:iCs/>
          <w:color w:val="000000"/>
          <w:sz w:val="24"/>
          <w:szCs w:val="24"/>
        </w:rPr>
        <w:t>it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redaktorial.</w:t>
      </w:r>
    </w:p>
    <w:p w14:paraId="187DB17C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290EAA81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Nika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Shqipërisë,</w:t>
      </w:r>
    </w:p>
    <w:p w14:paraId="32AFE324" w14:textId="509013CF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D299E" w:rsidRPr="000D299E">
        <w:rPr>
          <w:rFonts w:ascii="Garamond" w:hAnsi="Garamond" w:cs="Times New Roman"/>
          <w:color w:val="000000"/>
          <w:sz w:val="24"/>
          <w:szCs w:val="24"/>
        </w:rPr>
        <w:t>Evropiane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Njeriut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(Seksioni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Tretë),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mbledhur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nga:</w:t>
      </w:r>
    </w:p>
    <w:p w14:paraId="20A9B279" w14:textId="77777777" w:rsidR="000C73AE" w:rsidRPr="000D299E" w:rsidRDefault="000C73AE" w:rsidP="000C73AE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Pere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Vilanova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President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</w:p>
    <w:p w14:paraId="29308FFE" w14:textId="77777777" w:rsidR="000C73AE" w:rsidRPr="000D299E" w:rsidRDefault="000C73AE" w:rsidP="000C73AE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Jolien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Schukking,</w:t>
      </w:r>
    </w:p>
    <w:p w14:paraId="4710DA6A" w14:textId="77777777" w:rsidR="000C73AE" w:rsidRPr="000D299E" w:rsidRDefault="000C73AE" w:rsidP="000C73AE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Georgios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Serghides,</w:t>
      </w:r>
    </w:p>
    <w:p w14:paraId="6C97F7DC" w14:textId="77777777" w:rsidR="000C73AE" w:rsidRPr="000D299E" w:rsidRDefault="000C73AE" w:rsidP="000C73AE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Darian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Pavli,</w:t>
      </w:r>
    </w:p>
    <w:p w14:paraId="1D0CAD95" w14:textId="77777777" w:rsidR="000C73AE" w:rsidRPr="000D299E" w:rsidRDefault="000C73AE" w:rsidP="000C73AE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Peeter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Roosma,</w:t>
      </w:r>
    </w:p>
    <w:p w14:paraId="0A6BEDF2" w14:textId="77777777" w:rsidR="000C73AE" w:rsidRPr="000D299E" w:rsidRDefault="000C73AE" w:rsidP="000C73AE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Andreas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Zünd,</w:t>
      </w:r>
    </w:p>
    <w:p w14:paraId="699414F5" w14:textId="77777777" w:rsidR="000C73AE" w:rsidRPr="000D299E" w:rsidRDefault="000C73AE" w:rsidP="000C73AE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Oddný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Mjöll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Arnardóttir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gjyqtarët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</w:p>
    <w:p w14:paraId="70F4F61C" w14:textId="77777777" w:rsidR="000C73AE" w:rsidRPr="000D299E" w:rsidRDefault="000C73AE" w:rsidP="000C73AE">
      <w:pPr>
        <w:tabs>
          <w:tab w:val="left" w:pos="560"/>
          <w:tab w:val="left" w:pos="1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Milan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Blaško,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Kancelar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Seksioni,</w:t>
      </w:r>
    </w:p>
    <w:p w14:paraId="00927AB9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parasysh:</w:t>
      </w:r>
    </w:p>
    <w:p w14:paraId="0E7ACA13" w14:textId="30CBF070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kërkesën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1049/17)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Shqipërisë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depozituar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</w:t>
      </w:r>
      <w:r w:rsidR="00503BDC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34</w:t>
      </w:r>
      <w:r w:rsidR="00503BDC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Lirive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Themelore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Njeriut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(“Konventa”)</w:t>
      </w:r>
      <w:r w:rsidR="00503BDC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shtetase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D299E">
        <w:rPr>
          <w:rFonts w:ascii="Garamond" w:hAnsi="Garamond" w:cs="Times New Roman"/>
          <w:color w:val="000000"/>
          <w:sz w:val="24"/>
          <w:szCs w:val="24"/>
        </w:rPr>
        <w:t>z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Rajmonda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Nika,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D299E">
        <w:rPr>
          <w:rFonts w:ascii="Garamond" w:hAnsi="Garamond" w:cs="Times New Roman"/>
          <w:color w:val="000000"/>
          <w:sz w:val="24"/>
          <w:szCs w:val="24"/>
        </w:rPr>
        <w:t>z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Amelia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D299E">
        <w:rPr>
          <w:rFonts w:ascii="Garamond" w:hAnsi="Garamond" w:cs="Times New Roman"/>
          <w:color w:val="000000"/>
          <w:sz w:val="24"/>
          <w:szCs w:val="24"/>
        </w:rPr>
        <w:t>z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</w:t>
      </w:r>
      <w:r w:rsidR="000D299E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Mentila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(“kërkueset”),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dhjetor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2016;</w:t>
      </w:r>
    </w:p>
    <w:p w14:paraId="17A6FD98" w14:textId="2B394BCE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vendimin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njoftuar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(“Qeveria”)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</w:t>
      </w:r>
      <w:r w:rsidR="000D299E">
        <w:rPr>
          <w:rFonts w:ascii="Garamond" w:hAnsi="Garamond" w:cs="Times New Roman"/>
          <w:color w:val="000000"/>
          <w:sz w:val="24"/>
          <w:szCs w:val="24"/>
        </w:rPr>
        <w:t>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</w:t>
      </w:r>
      <w:r w:rsid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shpallur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papranueshme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kërkesës;</w:t>
      </w:r>
    </w:p>
    <w:p w14:paraId="7C5B6228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diskutimit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mbyllura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2023,</w:t>
      </w:r>
    </w:p>
    <w:p w14:paraId="58D187FC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merr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mëposhtëm,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miratua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datë:</w:t>
      </w:r>
    </w:p>
    <w:p w14:paraId="795AC2E8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HYRJE</w:t>
      </w:r>
    </w:p>
    <w:p w14:paraId="29F441DB" w14:textId="6809400B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procedural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3E697F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afërmit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A.N</w:t>
      </w:r>
      <w:r w:rsidR="003E697F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fatale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kokë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</w:p>
    <w:p w14:paraId="1A8F46E7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FAKTET</w:t>
      </w:r>
    </w:p>
    <w:p w14:paraId="059FC551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tabelën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bashkëngjitur.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përfaqësohen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Hakani,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avokat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licencë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Tiranë.</w:t>
      </w:r>
    </w:p>
    <w:p w14:paraId="5D616D25" w14:textId="45EAC408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Fillimisht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përfaqësohej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Agjentja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D299E">
        <w:rPr>
          <w:rFonts w:ascii="Garamond" w:hAnsi="Garamond" w:cs="Times New Roman"/>
          <w:color w:val="000000"/>
          <w:sz w:val="24"/>
          <w:szCs w:val="24"/>
        </w:rPr>
        <w:t>z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Hiçka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D299E">
        <w:rPr>
          <w:rFonts w:ascii="Garamond" w:hAnsi="Garamond" w:cs="Times New Roman"/>
          <w:color w:val="000000"/>
          <w:sz w:val="24"/>
          <w:szCs w:val="24"/>
        </w:rPr>
        <w:t>z</w:t>
      </w:r>
      <w:r w:rsidRPr="000D299E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</w:t>
      </w:r>
      <w:r w:rsidR="003E697F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Metani,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D299E">
        <w:rPr>
          <w:rFonts w:ascii="Garamond" w:hAnsi="Garamond" w:cs="Times New Roman"/>
          <w:color w:val="000000"/>
          <w:sz w:val="24"/>
          <w:szCs w:val="24"/>
        </w:rPr>
        <w:t>z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Muçaj,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D299E">
        <w:rPr>
          <w:rFonts w:ascii="Garamond" w:hAnsi="Garamond" w:cs="Times New Roman"/>
          <w:color w:val="000000"/>
          <w:sz w:val="24"/>
          <w:szCs w:val="24"/>
        </w:rPr>
        <w:t>z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</w:t>
      </w:r>
      <w:r w:rsidR="000D299E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Lilo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D299E">
        <w:rPr>
          <w:rFonts w:ascii="Garamond" w:hAnsi="Garamond" w:cs="Times New Roman"/>
          <w:color w:val="000000"/>
          <w:sz w:val="24"/>
          <w:szCs w:val="24"/>
        </w:rPr>
        <w:t>z</w:t>
      </w:r>
      <w:r w:rsidRPr="000D299E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Moçka,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Avokat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Shtetit.</w:t>
      </w:r>
    </w:p>
    <w:p w14:paraId="7DA51189" w14:textId="78D753C5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përmblidhen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</w:t>
      </w:r>
      <w:r w:rsidR="003E697F">
        <w:rPr>
          <w:rFonts w:ascii="Garamond" w:hAnsi="Garamond" w:cs="Times New Roman"/>
          <w:color w:val="000000"/>
          <w:sz w:val="24"/>
          <w:szCs w:val="24"/>
        </w:rPr>
        <w:t>:</w:t>
      </w:r>
    </w:p>
    <w:p w14:paraId="409EA097" w14:textId="45FF154D" w:rsidR="000C73AE" w:rsidRPr="000D299E" w:rsidRDefault="000C73AE" w:rsidP="000C73AE">
      <w:pPr>
        <w:tabs>
          <w:tab w:val="left" w:pos="440"/>
          <w:tab w:val="left" w:pos="520"/>
          <w:tab w:val="left" w:pos="620"/>
          <w:tab w:val="left" w:pos="700"/>
          <w:tab w:val="left" w:pos="7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I.</w:t>
      </w:r>
      <w:r w:rsid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Protesta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2011</w:t>
      </w:r>
    </w:p>
    <w:p w14:paraId="2083A962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familjare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(përkatësisht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gruaja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vajzat)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vdiq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(“Kryeministria”).</w:t>
      </w:r>
    </w:p>
    <w:p w14:paraId="7605D6FC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Partia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Socialiste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Shqipërisë,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atëherë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partia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opozitare,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njoftoi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bulevardin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Tiranës.</w:t>
      </w:r>
    </w:p>
    <w:p w14:paraId="59157F33" w14:textId="1119231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Drejtoria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Vendore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kryetarit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Partisë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Socialiste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organizatori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njoftonte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shkrim</w:t>
      </w:r>
      <w:r w:rsidR="003E697F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Partia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Socialiste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njoftoi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nesërmen</w:t>
      </w:r>
      <w:r w:rsidR="003E697F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organizimin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grumbullimit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itinerarin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Partia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Socialiste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ditë.</w:t>
      </w:r>
    </w:p>
    <w:p w14:paraId="28BDB8E5" w14:textId="0C8DC7A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(garda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nderit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shtetin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ngarkuar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personaliteteve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caktuara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shtetërore,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Kryeministrinë)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njësitë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gatishmëri,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merrnin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specifike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përgatisnin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</w:t>
      </w:r>
      <w:r w:rsidR="000D299E">
        <w:rPr>
          <w:rFonts w:ascii="Garamond" w:hAnsi="Garamond" w:cs="Times New Roman"/>
          <w:color w:val="000000"/>
          <w:sz w:val="24"/>
          <w:szCs w:val="24"/>
        </w:rPr>
        <w:t>u</w:t>
      </w:r>
      <w:r w:rsidRPr="000D299E">
        <w:rPr>
          <w:rFonts w:ascii="Garamond" w:hAnsi="Garamond" w:cs="Times New Roman"/>
          <w:color w:val="000000"/>
          <w:sz w:val="24"/>
          <w:szCs w:val="24"/>
        </w:rPr>
        <w:t>rdhër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28s/1,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lëshuar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njësive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përgatitën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miratuan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“Njësisë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Speciale”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përgatiti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28s/9</w:t>
      </w:r>
      <w:r w:rsid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parashikonte,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rëndësishme,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një:</w:t>
      </w:r>
    </w:p>
    <w:p w14:paraId="116AFC37" w14:textId="77777777" w:rsidR="000C73AE" w:rsidRPr="00600D38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600D38">
        <w:rPr>
          <w:rFonts w:ascii="Garamond" w:hAnsi="Garamond" w:cs="Times New Roman"/>
          <w:color w:val="000000"/>
          <w:sz w:val="20"/>
          <w:szCs w:val="20"/>
        </w:rPr>
        <w:t>“grupi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përbërë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[gjashtë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oficerë]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gatishmëri,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gati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hapur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zjarr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rast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thyerjes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kordonit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Njësisë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Dytë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Njësisë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Speciale”.</w:t>
      </w:r>
    </w:p>
    <w:p w14:paraId="505A8759" w14:textId="0C6358F6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logjistikës,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parashikonin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përveç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pajisjeve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3E697F">
        <w:rPr>
          <w:rFonts w:ascii="Garamond" w:hAnsi="Garamond" w:cs="Times New Roman"/>
          <w:color w:val="000000"/>
          <w:sz w:val="24"/>
          <w:szCs w:val="24"/>
        </w:rPr>
        <w:t>: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jelekë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helmeta,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gazit,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pajiseshin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pushkë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“tipi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56”,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manovre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vërtetë.</w:t>
      </w:r>
    </w:p>
    <w:p w14:paraId="3C07321B" w14:textId="1219318C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përgatiti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“plan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masash”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dyzet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faqe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garantimin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rendit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parashikonte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specifike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ngarkoheshin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drejtorie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departamenti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protestën;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veçanërisht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udhëzonte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protestës.</w:t>
      </w:r>
    </w:p>
    <w:p w14:paraId="7B1A084D" w14:textId="3B4965E8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mblidhen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11:00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paradite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qytetit;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njëjtën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udhëzimet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përfundimtare,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sollën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vëmendje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dispozitat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</w:t>
      </w:r>
      <w:r w:rsidR="000D299E">
        <w:rPr>
          <w:rFonts w:ascii="Garamond" w:hAnsi="Garamond" w:cs="Times New Roman"/>
          <w:color w:val="000000"/>
          <w:sz w:val="24"/>
          <w:szCs w:val="24"/>
        </w:rPr>
        <w:t>l</w:t>
      </w:r>
      <w:r w:rsidRPr="000D299E">
        <w:rPr>
          <w:rFonts w:ascii="Garamond" w:hAnsi="Garamond" w:cs="Times New Roman"/>
          <w:color w:val="000000"/>
          <w:sz w:val="24"/>
          <w:szCs w:val="24"/>
        </w:rPr>
        <w:t>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8290</w:t>
      </w:r>
      <w:r w:rsid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1998</w:t>
      </w:r>
      <w:r w:rsid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</w:t>
      </w:r>
      <w:r w:rsidR="000D299E">
        <w:rPr>
          <w:rFonts w:ascii="Garamond" w:hAnsi="Garamond" w:cs="Times New Roman"/>
          <w:color w:val="000000"/>
          <w:sz w:val="24"/>
          <w:szCs w:val="24"/>
        </w:rPr>
        <w:t>l</w:t>
      </w:r>
      <w:r w:rsidRPr="000D299E">
        <w:rPr>
          <w:rFonts w:ascii="Garamond" w:hAnsi="Garamond" w:cs="Times New Roman"/>
          <w:color w:val="000000"/>
          <w:sz w:val="24"/>
          <w:szCs w:val="24"/>
        </w:rPr>
        <w:t>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8869,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datë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2003</w:t>
      </w:r>
      <w:r w:rsid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zunë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pozicionet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Përfaqësues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mediave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pozicionuan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platforma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ngritura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mbuluar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protestën.</w:t>
      </w:r>
    </w:p>
    <w:p w14:paraId="30BD71A7" w14:textId="6B8E8EE4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14:00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mbërritën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hyrjes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kordonë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14:30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gjuanin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sende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kordonit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situata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përshkallëzua.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Kordoni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hodhi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gaz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lotsjellës.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Rrjedhimisht,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shpërndanë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përkohësisht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kordonit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pajisur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gazi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lotsjellës,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larguan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pozicionet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vazhduan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gjuanin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gurë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sende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godinës.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grumbulluan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përballë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topat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shpërndarë.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dogjën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makina</w:t>
      </w:r>
      <w:r w:rsidR="003E697F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hodhën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koktejl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molotov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plagosën.</w:t>
      </w:r>
    </w:p>
    <w:p w14:paraId="6EBDDAEC" w14:textId="570CA229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pacaktuar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16:00)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numër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relativisht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vogël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hekuri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makinave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depërtuan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njëzet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tridhjetë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metra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oborr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(d.m.th.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zonën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gardhit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makinë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përpoq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hynte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makinave,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përplas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pengesë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ngritur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parandaluar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ndërhyrje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tilla.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megafonin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poshtë:</w:t>
      </w:r>
    </w:p>
    <w:p w14:paraId="048485FA" w14:textId="1AB5D6F0" w:rsidR="000C73AE" w:rsidRPr="00600D38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600D38">
        <w:rPr>
          <w:rFonts w:ascii="Garamond" w:hAnsi="Garamond" w:cs="Times New Roman"/>
          <w:color w:val="000000"/>
          <w:sz w:val="20"/>
          <w:szCs w:val="20"/>
        </w:rPr>
        <w:t>“Qytetarë,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shkelni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rregullat,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shkelni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ligjin,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keni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hyrë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zonat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sigurisë;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ndaj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jush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ndërmerren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masa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ligjit.”</w:t>
      </w:r>
      <w:r w:rsidR="003E697F" w:rsidRPr="00600D38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6B146D35" w14:textId="0F69B354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3E697F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pajisur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mburoja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shkopinj</w:t>
      </w:r>
      <w:r w:rsidR="003E697F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ndërhynë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shtynë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oborrit.</w:t>
      </w:r>
    </w:p>
    <w:p w14:paraId="09AE7C99" w14:textId="6767EEE5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pacaktuar,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manovër,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justifikimin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vazhdimin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godinës.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16:10,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vdiqën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3E697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3E697F">
        <w:rPr>
          <w:rFonts w:ascii="Garamond" w:hAnsi="Garamond" w:cs="Times New Roman"/>
          <w:color w:val="000000"/>
          <w:sz w:val="24"/>
          <w:szCs w:val="24"/>
        </w:rPr>
        <w:t>.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trotuarit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përballë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dhunshëm,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kokë.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oborrit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dhunshme.</w:t>
      </w:r>
    </w:p>
    <w:p w14:paraId="05EEB441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konfrontimeve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dyzet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qytetarë,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tetëdhjetë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njëzet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policë.</w:t>
      </w:r>
    </w:p>
    <w:p w14:paraId="3185DDB5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Spitalin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Traumës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medias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ndihmë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mjekësore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spital.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lehta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gjuajtura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distancë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afërt.</w:t>
      </w:r>
    </w:p>
    <w:p w14:paraId="77973627" w14:textId="1944C2A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konferencë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shtyp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S.</w:t>
      </w:r>
      <w:r w:rsidR="003E697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paraprake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incidentin,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lloji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ngjarjen.</w:t>
      </w:r>
    </w:p>
    <w:p w14:paraId="7F05685B" w14:textId="7DED2782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Vonë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mbrëmjen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njëjtës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televiziv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lajmesh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transmetoi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shfaqte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vrasjes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3E697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shihet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qëllohej,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qëndronte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bulevard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metra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larg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makinave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shikonte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oborrit,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hodhi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godinës.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Papritur,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tokë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shfaq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dritare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ndërtesës.</w:t>
      </w:r>
    </w:p>
    <w:p w14:paraId="0D81645F" w14:textId="5582E7C8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20.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47B7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kujdesin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mjekësor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fillestar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Spitalin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Traumës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transferua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kujdes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specializuar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Stamboll,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vdiq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varros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</w:p>
    <w:p w14:paraId="37F446FC" w14:textId="38DF27FA" w:rsidR="000C73AE" w:rsidRPr="000D299E" w:rsidRDefault="000C73AE" w:rsidP="000C73AE">
      <w:pPr>
        <w:tabs>
          <w:tab w:val="left" w:pos="440"/>
          <w:tab w:val="left" w:pos="520"/>
          <w:tab w:val="left" w:pos="620"/>
          <w:tab w:val="left" w:pos="700"/>
          <w:tab w:val="left" w:pos="7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II.</w:t>
      </w:r>
      <w:r w:rsid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Hetimi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paraprak</w:t>
      </w:r>
    </w:p>
    <w:p w14:paraId="31540D69" w14:textId="78A1AE44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A.</w:t>
      </w:r>
      <w:r w:rsidR="00106D59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Masat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paraprak</w:t>
      </w:r>
    </w:p>
    <w:p w14:paraId="00934326" w14:textId="1A02D44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21.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47B7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vepra: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vrasje,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shkatërrim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shkatërrim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shpërdorim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pjesëmarrje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tubim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paligjshëm.</w:t>
      </w:r>
    </w:p>
    <w:p w14:paraId="2C83BFA7" w14:textId="07CD91B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22.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mbrëmje,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specialistët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zonën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mblodhën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pesëqind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gëzhoja,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dymbëdhjetë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fotografi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përshkrime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gjendjes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bulevardit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Përveç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numër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protestuesish,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mjekësh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gazetarësh;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fundit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</w:t>
      </w:r>
      <w:r w:rsidR="00466B1E">
        <w:rPr>
          <w:rFonts w:ascii="Garamond" w:hAnsi="Garamond" w:cs="Times New Roman"/>
          <w:color w:val="000000"/>
          <w:sz w:val="24"/>
          <w:szCs w:val="24"/>
        </w:rPr>
        <w:t>r</w:t>
      </w:r>
      <w:r w:rsidRPr="000D299E">
        <w:rPr>
          <w:rFonts w:ascii="Garamond" w:hAnsi="Garamond" w:cs="Times New Roman"/>
          <w:color w:val="000000"/>
          <w:sz w:val="24"/>
          <w:szCs w:val="24"/>
        </w:rPr>
        <w:t>egjistrimeve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gazetarët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kolegët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interes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nëntëdhjetë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gjithsej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vazhdoi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javëve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muajve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vijim.</w:t>
      </w:r>
    </w:p>
    <w:p w14:paraId="555C4202" w14:textId="0FA350E6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23.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Institutin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Mjekësisë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Ligjore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përveç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47B7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47B7E">
        <w:rPr>
          <w:rFonts w:ascii="Garamond" w:hAnsi="Garamond" w:cs="Times New Roman"/>
          <w:color w:val="000000"/>
          <w:sz w:val="24"/>
          <w:szCs w:val="24"/>
        </w:rPr>
        <w:t>.</w:t>
      </w:r>
      <w:r w:rsidRPr="000D299E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udhëzuan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që: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plagët;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analizonin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hyrëse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dalëse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trajektoren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shkakun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Ekspertiza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plagosur.</w:t>
      </w:r>
    </w:p>
    <w:p w14:paraId="4F5D31FC" w14:textId="0A9264C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24.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47B7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sekuestrimin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javët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vijim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sekuestruan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sekuestruara,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gëzhojat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veshjet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nënshtruan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ekspertizës.</w:t>
      </w:r>
    </w:p>
    <w:p w14:paraId="45537E3E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25.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jepte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audio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komunikimeve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radio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komunikimet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regjistruar.</w:t>
      </w:r>
    </w:p>
    <w:p w14:paraId="2F1EE75E" w14:textId="3D23D3AC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26.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kimik,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sipërpërmendura</w:t>
      </w:r>
      <w:r w:rsidR="00106D5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plagosurit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protestave,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rrobat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fjalë.</w:t>
      </w:r>
    </w:p>
    <w:p w14:paraId="4F9EC8A1" w14:textId="6DA771EB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1.</w:t>
      </w:r>
      <w:r w:rsidR="00106D5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Përpjekje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arrestimin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pyetje</w:t>
      </w:r>
    </w:p>
    <w:p w14:paraId="1983AD45" w14:textId="02B4230F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27.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mëngjesin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nxorën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urdhërndalime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</w:t>
      </w:r>
      <w:r w:rsidR="00447B7E">
        <w:rPr>
          <w:rFonts w:ascii="Garamond" w:hAnsi="Garamond" w:cs="Times New Roman"/>
          <w:color w:val="000000"/>
          <w:sz w:val="24"/>
          <w:szCs w:val="24"/>
        </w:rPr>
        <w:t>: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mëngjesit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dorëzuan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ekzekutim.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mëvonshme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përshkruan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atëhershëm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Parlamentit</w:t>
      </w:r>
      <w:r w:rsidR="00447B7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2011: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47B7E">
        <w:rPr>
          <w:rFonts w:ascii="Garamond" w:hAnsi="Garamond" w:cs="Times New Roman"/>
          <w:color w:val="000000"/>
          <w:sz w:val="24"/>
          <w:szCs w:val="24"/>
        </w:rPr>
        <w:t>m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inistri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Brendshëm,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përmendi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telefonatë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plotësisht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dispozicion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ministri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rivlerësimin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urdhërarresteve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parasysh,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inter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alia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njoftimin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opozitës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marshim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heshtur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dispozicion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refuzoi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sërish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ekzekutimin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arrestit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Pasdite,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47B7E" w:rsidRPr="000D299E">
        <w:rPr>
          <w:rFonts w:ascii="Garamond" w:hAnsi="Garamond" w:cs="Times New Roman"/>
          <w:color w:val="000000"/>
          <w:sz w:val="24"/>
          <w:szCs w:val="24"/>
        </w:rPr>
        <w:t xml:space="preserve">drejtori i përgjithshëm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njoftoi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gabimeve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teknike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urdhërarrestet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ekzekutoheshin.</w:t>
      </w:r>
    </w:p>
    <w:p w14:paraId="6B9AEF4E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28.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komentet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mëposhtme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vazhdim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ngjarjeve:</w:t>
      </w:r>
    </w:p>
    <w:p w14:paraId="31DB68DD" w14:textId="1EFF403C" w:rsidR="000C73AE" w:rsidRPr="00600D38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600D38">
        <w:rPr>
          <w:rFonts w:ascii="Garamond" w:hAnsi="Garamond" w:cs="Times New Roman"/>
          <w:color w:val="000000"/>
          <w:sz w:val="20"/>
          <w:szCs w:val="20"/>
        </w:rPr>
        <w:t>“Edhe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pse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grushti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përmbahet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strategjisë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tij,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vazhdojmë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detyrat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tona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qeveri.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Unë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them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[ata]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vazhdojmë,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sepse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Prokurorja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Përgjithshëm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–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cil</w:t>
      </w:r>
      <w:r w:rsidR="00447B7E" w:rsidRPr="00600D38">
        <w:rPr>
          <w:rFonts w:ascii="Garamond" w:hAnsi="Garamond" w:cs="Times New Roman"/>
          <w:color w:val="000000"/>
          <w:sz w:val="20"/>
          <w:szCs w:val="20"/>
        </w:rPr>
        <w:t>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brenda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6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orëve,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asnjë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hetim,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dje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urdhëroi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arrestimin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gjithë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zinxhirit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[të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komandës]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Gardës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Republikës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–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sot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urdhëruar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masën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arrestit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burg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ndaj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njërit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prej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lastRenderedPageBreak/>
        <w:t>krye-terroristëve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krye-banditëve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filmua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fotografua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mediat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shqiptare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huaja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revolver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brez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derën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Kryeministrisë.</w:t>
      </w:r>
    </w:p>
    <w:p w14:paraId="4952C4EB" w14:textId="77777777" w:rsidR="000C73AE" w:rsidRPr="00600D38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600D38">
        <w:rPr>
          <w:rFonts w:ascii="Garamond" w:hAnsi="Garamond" w:cs="Times New Roman"/>
          <w:color w:val="000000"/>
          <w:sz w:val="20"/>
          <w:szCs w:val="20"/>
        </w:rPr>
        <w:t>...</w:t>
      </w:r>
    </w:p>
    <w:p w14:paraId="07595506" w14:textId="77777777" w:rsidR="000C73AE" w:rsidRPr="00600D38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600D38">
        <w:rPr>
          <w:rFonts w:ascii="Garamond" w:hAnsi="Garamond" w:cs="Times New Roman"/>
          <w:color w:val="000000"/>
          <w:sz w:val="20"/>
          <w:szCs w:val="20"/>
        </w:rPr>
        <w:t>Dëshiroj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t’i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them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zonjës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Prokurore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Përgjithshme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Garda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Republikës,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cilës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ju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dëshironi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t’i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prisni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kokat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qëllimet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tuaja[,]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ju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mbron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juve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gjithashtu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–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ajo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detyrë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t’ju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mbrojë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juve;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ju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mbrojtur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t’ju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mbrojë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përsëri,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jeni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sigurt,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aq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kohë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mbani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postin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[tuaj].</w:t>
      </w:r>
    </w:p>
    <w:p w14:paraId="091F7F01" w14:textId="77777777" w:rsidR="000C73AE" w:rsidRPr="00600D38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600D38">
        <w:rPr>
          <w:rFonts w:ascii="Garamond" w:hAnsi="Garamond" w:cs="Times New Roman"/>
          <w:color w:val="000000"/>
          <w:sz w:val="20"/>
          <w:szCs w:val="20"/>
        </w:rPr>
        <w:t>...</w:t>
      </w:r>
    </w:p>
    <w:p w14:paraId="18580934" w14:textId="64A65800" w:rsidR="000C73AE" w:rsidRPr="00600D38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600D38">
        <w:rPr>
          <w:rFonts w:ascii="Garamond" w:hAnsi="Garamond" w:cs="Times New Roman"/>
          <w:color w:val="000000"/>
          <w:sz w:val="20"/>
          <w:szCs w:val="20"/>
        </w:rPr>
        <w:t>Zonja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liron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personin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armatosur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armë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sulmoi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oficerët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mbrojnë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atë,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dijë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ajo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hyrë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territor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shumë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i/>
          <w:iCs/>
          <w:color w:val="000000"/>
          <w:sz w:val="20"/>
          <w:szCs w:val="20"/>
        </w:rPr>
        <w:t>gabuar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ky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zbatim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ligjit.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Ky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organi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ligjzbatues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cilin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kanë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votuar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qytetarët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shqiptarë.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kërkosh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arrestimin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komandantit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përgjithshëm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Gardës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atyre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kanë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mbrojtur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institucionet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[shtetërore]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lirosh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banditin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vuri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flakën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[atyre]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institucioneve,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nxjerr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shumë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keq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para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shqiptarëve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botës.”</w:t>
      </w:r>
      <w:r w:rsidR="00447B7E" w:rsidRPr="00600D38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0465E071" w14:textId="231EA42E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29.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takimi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familjarët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kritikoi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sërish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ofenduese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personalisht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hetoheshin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D299E">
        <w:rPr>
          <w:rFonts w:ascii="Garamond" w:hAnsi="Garamond" w:cs="Times New Roman"/>
          <w:color w:val="000000"/>
          <w:sz w:val="24"/>
          <w:szCs w:val="24"/>
        </w:rPr>
        <w:t>j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</w:p>
    <w:p w14:paraId="53600CA4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30.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thirrjes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parlamentar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vijim,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hetoheshin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largua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seanca,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anëtarët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komente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kritike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veçanërisht,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arrogancë,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përmbushur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respektuar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komisionin.</w:t>
      </w:r>
    </w:p>
    <w:p w14:paraId="26D1D542" w14:textId="680B92BB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31.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BA52CA" w:rsidRPr="000D299E">
        <w:rPr>
          <w:rFonts w:ascii="Garamond" w:hAnsi="Garamond" w:cs="Times New Roman"/>
          <w:color w:val="000000"/>
          <w:sz w:val="24"/>
          <w:szCs w:val="24"/>
        </w:rPr>
        <w:t>këqyrën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gardhi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metalik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predha.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fotografi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gardhit.</w:t>
      </w:r>
    </w:p>
    <w:p w14:paraId="5AEF0B1C" w14:textId="53B1B4A4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2.</w:t>
      </w:r>
      <w:r w:rsidR="00106D5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Përpjekje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marrjen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videoregjistrimeve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bëra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kamerat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sigurisë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Kryeministrisë</w:t>
      </w:r>
    </w:p>
    <w:p w14:paraId="1F8A0B9D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32.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mbledhjes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kabinetit,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zyra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pajisur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sistem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sekretarit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dispozicion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prokurorëve.</w:t>
      </w:r>
    </w:p>
    <w:p w14:paraId="0DEC42BB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33.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Zyrës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jepte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pamjeve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vendosura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çatinë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godinës.</w:t>
      </w:r>
    </w:p>
    <w:p w14:paraId="3BC8B85B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34.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funksionit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2009.</w:t>
      </w:r>
    </w:p>
    <w:p w14:paraId="1E554C49" w14:textId="6D23B7EA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35.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sekuestruan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diskun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(regjistruesin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digjital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diskut)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sistemit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njëjtën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Zyra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njoftoi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dërgoi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videoregjistrim.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orientuar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zonë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interes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pamjet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zgjasnin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minuta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mbulonin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periudhën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protestës.</w:t>
      </w:r>
    </w:p>
    <w:p w14:paraId="495C3C19" w14:textId="4AC163BA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B.</w:t>
      </w:r>
      <w:r w:rsid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Masa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hetimore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vijuese</w:t>
      </w:r>
    </w:p>
    <w:p w14:paraId="727A7208" w14:textId="2FAE479B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36.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mbante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zëvendëskomandantit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“Njësisë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Speciale”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specifike</w:t>
      </w:r>
      <w:r w:rsidR="00623463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veçanërisht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miratuar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çfarë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komunikimi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protestave,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protestës.</w:t>
      </w:r>
    </w:p>
    <w:p w14:paraId="5E758CC6" w14:textId="1456030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37.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përgjithësi,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eprorët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datën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gojarisht,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urgjenca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situatës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alternativ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komunikimi.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Njësitë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bashkërenduar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komunikimit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radio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nëpërmjet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telefonave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celularë.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njësive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vendoseshin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kryenin.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specifik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ndjerë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situata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veçanërisht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oborrin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62346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</w:t>
      </w:r>
      <w:r w:rsidR="00623463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veçanti</w:t>
      </w:r>
      <w:r w:rsidR="00623463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paralajmëruese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manovër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frenimin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kuptuar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manovre.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shpjegonin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shenjat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predha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njeriut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metalik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javëve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vijim.</w:t>
      </w:r>
    </w:p>
    <w:p w14:paraId="5EA6691C" w14:textId="6B819340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38.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lëshuar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urdhraarresti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sipër),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dorëzuan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ditë.</w:t>
      </w:r>
    </w:p>
    <w:p w14:paraId="311B4791" w14:textId="5B85ABE9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39.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mbikëqyrur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drejtpërdrejt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operacionet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terren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Kombëtare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pranishëm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iniciativën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garantuar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ruanin.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lënduar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klinikën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mjekësore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dërguar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spital.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pavarësisht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mbante,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vetull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ndihmë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mjekësore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gjakderdhjen.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kthyer,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“informuar”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jepte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shpjegim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shenjat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predha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metalik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njeriut),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shpjegonte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shenjat.</w:t>
      </w:r>
    </w:p>
    <w:p w14:paraId="7E954AD5" w14:textId="686E5B3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40.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shqyrtoi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regjistrin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marrjes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dorëzim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shërbimit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qendrës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operacionale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regjistrohen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ditore,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urdhrat,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veprimtaritë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faqeve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regjistrit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aktivitetet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përmbante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shënim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shkopinj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...zjarr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kundërshtim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ligjin”.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62F91">
        <w:rPr>
          <w:rFonts w:ascii="Garamond" w:hAnsi="Garamond" w:cs="Times New Roman"/>
          <w:color w:val="000000"/>
          <w:sz w:val="24"/>
          <w:szCs w:val="24"/>
        </w:rPr>
        <w:t>16</w:t>
      </w:r>
      <w:r w:rsidR="00C74102" w:rsidRPr="00E62F91">
        <w:rPr>
          <w:rFonts w:ascii="Garamond" w:hAnsi="Garamond" w:cs="Times New Roman"/>
          <w:color w:val="000000"/>
          <w:sz w:val="24"/>
          <w:szCs w:val="24"/>
        </w:rPr>
        <w:t>:</w:t>
      </w:r>
      <w:r w:rsidRPr="00E62F91">
        <w:rPr>
          <w:rFonts w:ascii="Garamond" w:hAnsi="Garamond" w:cs="Times New Roman"/>
          <w:color w:val="000000"/>
          <w:sz w:val="24"/>
          <w:szCs w:val="24"/>
        </w:rPr>
        <w:t>10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shtynin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shkopinj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oborrin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verior.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62F91">
        <w:rPr>
          <w:rFonts w:ascii="Garamond" w:hAnsi="Garamond" w:cs="Times New Roman"/>
          <w:color w:val="000000"/>
          <w:sz w:val="24"/>
          <w:szCs w:val="24"/>
        </w:rPr>
        <w:t>16:13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municion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urgjencë.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shqyrtoi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dhënash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shpërndarë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organizimin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demonstrata.</w:t>
      </w:r>
    </w:p>
    <w:p w14:paraId="4064C052" w14:textId="5E64C3A6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41.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nxorën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dërguan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letërporosi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turke.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përcoll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shqiptare,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</w:p>
    <w:p w14:paraId="7432D5D7" w14:textId="3CDF5312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42.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Shkencore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nxori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kokën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origjinale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karakteristikat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identifikuese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dëmtimit;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dalë.</w:t>
      </w:r>
    </w:p>
    <w:p w14:paraId="5D4280F4" w14:textId="5E82A55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43.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qershor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dërguan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letërporosi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Departamentit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Amerikës.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nevojshme,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amerikane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kërkua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përmirësonin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fotografive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interes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diskun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vendosura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predhat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përmbajtjes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dosjes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penale.</w:t>
      </w:r>
    </w:p>
    <w:p w14:paraId="5B5A078D" w14:textId="3C5775E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44.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gusht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amerikane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thuhej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riformatuar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manualisht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(domethënë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indeksit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manualisht)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00</w:t>
      </w:r>
      <w:r w:rsidR="00E62F91">
        <w:rPr>
          <w:rFonts w:ascii="Garamond" w:hAnsi="Garamond" w:cs="Times New Roman"/>
          <w:color w:val="000000"/>
          <w:sz w:val="24"/>
          <w:szCs w:val="24"/>
        </w:rPr>
        <w:t>:</w:t>
      </w:r>
      <w:r w:rsidRPr="000D299E">
        <w:rPr>
          <w:rFonts w:ascii="Garamond" w:hAnsi="Garamond" w:cs="Times New Roman"/>
          <w:color w:val="000000"/>
          <w:sz w:val="24"/>
          <w:szCs w:val="24"/>
        </w:rPr>
        <w:t>51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12:10.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thuhej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mbrëmjen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fund,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zbuloi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përmbajtja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njëmbëdhjetë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konfiguruar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regjistronin.</w:t>
      </w:r>
    </w:p>
    <w:p w14:paraId="27E0902E" w14:textId="2D91FFD6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45.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amerikane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dorëzuan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thuhej,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rëndësishme,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shenjave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mjaftueshme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mikroskopike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përputhej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anëtarit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familjes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ekzaminim.</w:t>
      </w:r>
    </w:p>
    <w:p w14:paraId="6D07F406" w14:textId="250AE90F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46.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dolën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pistoletë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62F91">
        <w:rPr>
          <w:rFonts w:ascii="Garamond" w:hAnsi="Garamond" w:cs="Times New Roman"/>
          <w:i/>
          <w:color w:val="000000"/>
          <w:sz w:val="24"/>
          <w:szCs w:val="24"/>
        </w:rPr>
        <w:t>Beretta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automatik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MP-5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përkatësisht.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zëvendëskomandant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“Njësisë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Gardës”.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pistoletës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zëvendësuar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tjetër.</w:t>
      </w:r>
    </w:p>
    <w:p w14:paraId="652976AD" w14:textId="3D3FDA05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47.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prill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akuzuan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akuzua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pengim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vijues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njëjtën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nevojiteshin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mëtejshme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vijues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poshtë).</w:t>
      </w:r>
    </w:p>
    <w:p w14:paraId="02BAA54A" w14:textId="5DADB76E" w:rsidR="000C73AE" w:rsidRPr="000D299E" w:rsidRDefault="000C73AE" w:rsidP="000C73AE">
      <w:pPr>
        <w:tabs>
          <w:tab w:val="left" w:pos="440"/>
          <w:tab w:val="left" w:pos="520"/>
          <w:tab w:val="left" w:pos="620"/>
          <w:tab w:val="left" w:pos="700"/>
          <w:tab w:val="left" w:pos="7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III.</w:t>
      </w:r>
      <w:r w:rsid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Gjyqi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nëpunësit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Teknologjisë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Informacionit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Kryeministrisë</w:t>
      </w:r>
    </w:p>
    <w:p w14:paraId="4D63C493" w14:textId="559BCF5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48.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aktekspertimit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lartpërmendur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sistemit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përmbajtja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akuzuan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nëpunësin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teknologjisë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informacionit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(IT)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pengim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drejtësisë.</w:t>
      </w:r>
    </w:p>
    <w:p w14:paraId="07791A31" w14:textId="1666CFD2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49.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aktakuzës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menjëherë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nxjerrë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stafit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ruanin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paprekura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videoregjistrimet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Pavarësisht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përmbajtja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kopjuar;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riformatuar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</w:p>
    <w:p w14:paraId="4BEE8BAA" w14:textId="15C25C2B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50.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stafi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fillimisht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çatinë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godinës,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33</w:t>
      </w:r>
      <w:r w:rsidR="00E62F91">
        <w:rPr>
          <w:rFonts w:ascii="Garamond" w:hAnsi="Garamond" w:cs="Times New Roman"/>
          <w:color w:val="000000"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34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sekuestruan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diskun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stafi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përcolli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</w:p>
    <w:p w14:paraId="1970C5A3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51.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amerikane,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njëmbëdhjetë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konfiguruar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</w:p>
    <w:p w14:paraId="165ABFA1" w14:textId="292D7C15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52.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nëpunësi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IT-së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videoregjistrime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DVD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dorëzuar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DVD-të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DVD-në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ruajtur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DVD-në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kujtuar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vonë.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mohoi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riformatuar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diskun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E62F91">
        <w:rPr>
          <w:rFonts w:ascii="Garamond" w:hAnsi="Garamond" w:cs="Times New Roman"/>
          <w:color w:val="000000"/>
          <w:sz w:val="24"/>
          <w:szCs w:val="24"/>
        </w:rPr>
        <w:t>:</w:t>
      </w:r>
      <w:r w:rsidRPr="000D299E">
        <w:rPr>
          <w:rFonts w:ascii="Garamond" w:hAnsi="Garamond" w:cs="Times New Roman"/>
          <w:color w:val="000000"/>
          <w:sz w:val="24"/>
          <w:szCs w:val="24"/>
        </w:rPr>
        <w:t>00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shtëpi;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prandaj,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riformatonte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62F91">
        <w:rPr>
          <w:rFonts w:ascii="Garamond" w:hAnsi="Garamond" w:cs="Times New Roman"/>
          <w:i/>
          <w:color w:val="000000"/>
          <w:sz w:val="24"/>
          <w:szCs w:val="24"/>
        </w:rPr>
        <w:t>hard</w:t>
      </w:r>
      <w:r w:rsidR="004328D9" w:rsidRPr="00E62F91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 w:rsidRPr="00E62F91">
        <w:rPr>
          <w:rFonts w:ascii="Garamond" w:hAnsi="Garamond" w:cs="Times New Roman"/>
          <w:i/>
          <w:color w:val="000000"/>
          <w:sz w:val="24"/>
          <w:szCs w:val="24"/>
        </w:rPr>
        <w:t>drive</w:t>
      </w:r>
      <w:r w:rsidR="00E62F91" w:rsidRPr="00E62F91">
        <w:rPr>
          <w:rFonts w:ascii="Garamond" w:hAnsi="Garamond" w:cs="Times New Roman"/>
          <w:color w:val="000000"/>
          <w:sz w:val="24"/>
          <w:szCs w:val="24"/>
        </w:rPr>
        <w:t>-in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0D299E">
        <w:rPr>
          <w:rFonts w:ascii="Garamond" w:hAnsi="Garamond"/>
          <w:i/>
          <w:iCs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janarit.</w:t>
      </w:r>
    </w:p>
    <w:p w14:paraId="32764CEB" w14:textId="6A68E22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53.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dëshmuan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nëpunësit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IT-së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jepte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dëshmuan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“dhoma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serverit”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mbikëqyrjen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0D299E">
        <w:rPr>
          <w:rFonts w:ascii="Garamond" w:hAnsi="Garamond"/>
          <w:i/>
          <w:iCs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askush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pajisjen.</w:t>
      </w:r>
    </w:p>
    <w:p w14:paraId="7F71AD82" w14:textId="383C839E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54.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shpalli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pafajshëm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pandehurin,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provuar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përtej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arsyeshëm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pandehuri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2013</w:t>
      </w:r>
      <w:r w:rsid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fuqi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apel;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2015,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rrëzoi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rekursin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prokuroria.</w:t>
      </w:r>
    </w:p>
    <w:p w14:paraId="471A41C6" w14:textId="2190D738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55.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riformatuar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pandehuri.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Madje,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mbikëqyrur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dhomën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serverit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të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binin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kundërshtim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versionin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mosdhënia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pandehurit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videoregjistrimit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sjellje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pakujdesshme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kriminal.</w:t>
      </w:r>
    </w:p>
    <w:p w14:paraId="555A11FC" w14:textId="4C9D44BA" w:rsidR="000C73AE" w:rsidRPr="000D299E" w:rsidRDefault="000C73AE" w:rsidP="000C73AE">
      <w:pPr>
        <w:tabs>
          <w:tab w:val="left" w:pos="440"/>
          <w:tab w:val="left" w:pos="520"/>
          <w:tab w:val="left" w:pos="620"/>
          <w:tab w:val="left" w:pos="700"/>
          <w:tab w:val="left" w:pos="7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IV.</w:t>
      </w:r>
      <w:r w:rsidR="00E62F91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Gjyqi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Republikës</w:t>
      </w:r>
    </w:p>
    <w:p w14:paraId="7B70CE34" w14:textId="636BC84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56.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aktakuzës,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16:00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16:10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njëkohësisht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fillestare,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përmendur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gjuajtjen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njëmbëdhjetë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protestuesish,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qëndruar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pistoletës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koleg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bashkëakuzuar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fshehur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Mbështetur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rrobave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zbuluan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baruti,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konfirmuan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zjarri.</w:t>
      </w:r>
    </w:p>
    <w:p w14:paraId="31A3A30B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57.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breshëri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ulte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objektivin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drejtpërdrejt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protestuesish,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vdiq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plagosën.</w:t>
      </w:r>
    </w:p>
    <w:p w14:paraId="6DB2A41A" w14:textId="4E27AE6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58.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shpalli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pafajshëm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</w:t>
      </w:r>
      <w:r w:rsidR="00E62F91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pistoleta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sakta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fushëpamjes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akuzuari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destinuar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viktimën.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Rrjedhimisht,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</w:t>
      </w:r>
      <w:r w:rsidR="00E62F91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vrasjes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dashje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rrezikshme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jetën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personave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”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</w:t>
      </w:r>
      <w:r w:rsidR="00323E3E">
        <w:rPr>
          <w:rFonts w:ascii="Garamond" w:hAnsi="Garamond" w:cs="Times New Roman"/>
          <w:color w:val="000000"/>
          <w:sz w:val="24"/>
          <w:szCs w:val="24"/>
        </w:rPr>
        <w:t>ë</w:t>
      </w:r>
      <w:r w:rsidRPr="000D299E">
        <w:rPr>
          <w:rFonts w:ascii="Garamond" w:hAnsi="Garamond" w:cs="Times New Roman"/>
          <w:color w:val="000000"/>
          <w:sz w:val="24"/>
          <w:szCs w:val="24"/>
        </w:rPr>
        <w:t>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rikoshet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akuzuari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destinuar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viktimën.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plagosur,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implikonin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Rrjedhimisht,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fajtor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vrasjes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dashje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personave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”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(dh)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fund,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tërhequr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akuzën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pengimin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fillimisht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akuzuar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</w:t>
      </w:r>
      <w:r w:rsidR="00E62F91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fshehjes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shpalli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pafajshëm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vepër.</w:t>
      </w:r>
    </w:p>
    <w:p w14:paraId="794E61BE" w14:textId="31019209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59.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shtator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Apelit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vota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shpalli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fajtor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vrasje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pakujdesia</w:t>
      </w:r>
      <w:r w:rsidR="00E62F91">
        <w:rPr>
          <w:rFonts w:ascii="Garamond" w:hAnsi="Garamond" w:cs="Times New Roman"/>
          <w:i/>
          <w:iCs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dënoi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burg.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fuqi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shkallës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parë.</w:t>
      </w:r>
    </w:p>
    <w:p w14:paraId="4F08B03B" w14:textId="3055120C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60.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apelit,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përgjithësi,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dakord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shkallës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veçantë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paqësore,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sende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16:00,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portat”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tepër,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</w:t>
      </w:r>
      <w:r w:rsidR="00E62F91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pothuajse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njëjtën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dhunshme.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drejtpërdrejt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viktimave</w:t>
      </w:r>
      <w:r w:rsidR="00E62F9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</w:t>
      </w:r>
    </w:p>
    <w:p w14:paraId="1B5DAB2A" w14:textId="4AD8096F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61.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shumicës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anëtarëve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Apelit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akuzuari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vriste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përjashtoi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akuzën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vrasjes.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mendimit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Apelit,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E62F9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</w:t>
      </w:r>
      <w:r w:rsidR="00E62F91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retroaktive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cilësimin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juridik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</w:p>
    <w:p w14:paraId="737C3B07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62.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pandehurit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joproporcionale,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vazhdoi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pandehurit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parashikuar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pasojat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Prandaj,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pandehurit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shpallën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fajtorë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vrasje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pakujdesia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Penal.</w:t>
      </w:r>
    </w:p>
    <w:p w14:paraId="7FF17466" w14:textId="445EAB8E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63.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gjyqtare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mendim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pakice.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mjaftueshme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drejtpërdrejtë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pandehurit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gjendje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parashikonin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pasojat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indirekt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dolus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eventualis</w:t>
      </w:r>
      <w:r w:rsidRPr="000D299E">
        <w:rPr>
          <w:rFonts w:ascii="Garamond" w:hAnsi="Garamond" w:cs="Times New Roman"/>
          <w:color w:val="000000"/>
          <w:sz w:val="24"/>
          <w:szCs w:val="24"/>
        </w:rPr>
        <w:t>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pakujdesi.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konkludoi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shpalleshin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fajtorë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vrasje.</w:t>
      </w:r>
    </w:p>
    <w:p w14:paraId="6D0B6CCE" w14:textId="2C338758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64.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prill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rrëzoi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thjesht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shkaqeve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shkallës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argumentet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shqyrtim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dallonte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mospërputhje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Apelit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trajtonte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argumentet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palëve.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ngritura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argumentet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refuzuar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papranueshme.</w:t>
      </w:r>
    </w:p>
    <w:p w14:paraId="6A5A0F7F" w14:textId="627A5AC1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65.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Familjet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zgjidhën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marrëveshje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miqësore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Veizi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Ded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Shqipërisë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(çregjistrim)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[Komiteti]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16191/13,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Myrtaj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Shqipërisë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(çregjistrim)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[Komiteti]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62907/16,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2019).</w:t>
      </w:r>
    </w:p>
    <w:p w14:paraId="1C11744C" w14:textId="4FDC06B8" w:rsidR="000C73AE" w:rsidRPr="000D299E" w:rsidRDefault="000C73AE" w:rsidP="000C73AE">
      <w:pPr>
        <w:tabs>
          <w:tab w:val="left" w:pos="440"/>
          <w:tab w:val="left" w:pos="520"/>
          <w:tab w:val="left" w:pos="620"/>
          <w:tab w:val="left" w:pos="700"/>
          <w:tab w:val="left" w:pos="7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V.</w:t>
      </w:r>
      <w:r w:rsid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Masa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mëtejshme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hetimore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N.</w:t>
      </w:r>
    </w:p>
    <w:p w14:paraId="64A7566F" w14:textId="6AA26B52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66.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intervistuan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sërish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qëndruar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D3495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njëjtën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rindërtim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sjellë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tyre.</w:t>
      </w:r>
    </w:p>
    <w:p w14:paraId="02ABBD77" w14:textId="73FC1A3A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67.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intervistuan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anëtarë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familjes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</w:p>
    <w:p w14:paraId="1190293E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68.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prill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qendrës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operacioneve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Republikës.</w:t>
      </w:r>
    </w:p>
    <w:p w14:paraId="628AED0A" w14:textId="2987236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69.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prill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2015,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anëtarë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përpjekjen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lartpërmendur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shkopinj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gome.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lastRenderedPageBreak/>
        <w:t>via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radios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celularëve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personalisht.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kujtonin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vërtetë.</w:t>
      </w:r>
    </w:p>
    <w:p w14:paraId="06B48E59" w14:textId="646061F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70.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Instituti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përpiloi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thuhej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kartelat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mjekësore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përgatitura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Spitalin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Traumës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ekspertize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prodhuar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kokën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D3495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Referuar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dhënave,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konkludoi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majtë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ballit.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gjuajtja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kockën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vrimë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daljeje.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mbrapa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majta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djathtë.</w:t>
      </w:r>
    </w:p>
    <w:p w14:paraId="57C5AD85" w14:textId="609C1D4C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71.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2015,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balistik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kaloi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Drejtorisë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Shkencore.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2015,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fundit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kthyer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paketën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nënvizuar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dërguar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gabuar.</w:t>
      </w:r>
    </w:p>
    <w:p w14:paraId="559EA234" w14:textId="61073A1B" w:rsidR="000C73AE" w:rsidRPr="000D299E" w:rsidRDefault="000C73AE" w:rsidP="004D34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72.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balistik,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shtator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2015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riekzaminuan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vjaska;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dolën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dëmtuar,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pamundur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përputhej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shkrepur.</w:t>
      </w:r>
    </w:p>
    <w:p w14:paraId="41C18B65" w14:textId="6D4D15D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73.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qershor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familjar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ecurinë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përcillte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dosjes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hetimore.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dosjes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hetimore.</w:t>
      </w:r>
    </w:p>
    <w:p w14:paraId="390D67C0" w14:textId="414BD8DC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74.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2020</w:t>
      </w:r>
      <w:r w:rsidR="004F2E52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zbardhur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vrasjen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identifikoheshin,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pezulluan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dërguan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mëtejshme.</w:t>
      </w:r>
    </w:p>
    <w:p w14:paraId="52520438" w14:textId="1B176D1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75.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dërgoi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sugjeronte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rihapjen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hetimeve.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sugjeronte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përgatiteshin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plagosur,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sugjeroi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progres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teknologjinë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kriminalistike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gjendje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sugjeroi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videoregjistrimet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ekzaminoheshin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merreshin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sërish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pyetje.</w:t>
      </w:r>
    </w:p>
    <w:p w14:paraId="2F78BF85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76.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prill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rihapën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hetimet.</w:t>
      </w:r>
    </w:p>
    <w:p w14:paraId="46582FBA" w14:textId="6CC032F0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77.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komunikoi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Drejtorinë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Shkencore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shtatori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2015,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progres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teknologjik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qoftë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qoftë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F2E52" w:rsidRPr="000D299E">
        <w:rPr>
          <w:rFonts w:ascii="Garamond" w:hAnsi="Garamond" w:cs="Times New Roman"/>
          <w:color w:val="000000"/>
          <w:sz w:val="24"/>
          <w:szCs w:val="24"/>
        </w:rPr>
        <w:t>Evropian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Amerikës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mundësonte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shtator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2021.</w:t>
      </w:r>
    </w:p>
    <w:p w14:paraId="402BC751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78.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konfirmoi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përditësim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hetimit.</w:t>
      </w:r>
    </w:p>
    <w:p w14:paraId="6A8A329C" w14:textId="54726151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79.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Shkencore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progres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teknologjik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mundësonte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dhënien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rezultati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informacion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progres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tillë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teknologjik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sugjeroi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Shërbimit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Inteligjencës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Balistike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Mbretërisë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laboratorit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Byrosë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Federale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SHBA-së.</w:t>
      </w:r>
    </w:p>
    <w:p w14:paraId="52C46FC0" w14:textId="430C5311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80.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letërporosie,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italiane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informacion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këtë.</w:t>
      </w:r>
    </w:p>
    <w:p w14:paraId="54FFF3DD" w14:textId="40846C0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81.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mediat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lokale,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D3495">
        <w:rPr>
          <w:rFonts w:ascii="Garamond" w:hAnsi="Garamond" w:cs="Times New Roman"/>
          <w:color w:val="000000"/>
          <w:sz w:val="24"/>
          <w:szCs w:val="24"/>
        </w:rPr>
        <w:t>m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inistri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depozituar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kallëzimin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Posaçme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Korrupsionit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Organizuar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(“Prokuroria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Posaçme”)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ministrit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Brendshëm,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medias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audio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komunikimeve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radiofonike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</w:t>
      </w:r>
      <w:r w:rsidR="004D3495">
        <w:rPr>
          <w:rFonts w:ascii="Garamond" w:hAnsi="Garamond" w:cs="Times New Roman"/>
          <w:color w:val="000000"/>
          <w:sz w:val="24"/>
          <w:szCs w:val="24"/>
        </w:rPr>
        <w:t>.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atëhershëm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Mësohet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Posaçme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përcjellë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kallëzimin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ministrit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shkaqe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juridiksioni.</w:t>
      </w:r>
    </w:p>
    <w:p w14:paraId="7A3B3A53" w14:textId="67A5E845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82.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medias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vendase,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anëtarë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familjeve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D3495">
        <w:rPr>
          <w:rFonts w:ascii="Garamond" w:hAnsi="Garamond" w:cs="Times New Roman"/>
          <w:color w:val="000000"/>
          <w:sz w:val="24"/>
          <w:szCs w:val="24"/>
        </w:rPr>
        <w:t>.</w:t>
      </w:r>
      <w:r w:rsidRPr="000D299E">
        <w:rPr>
          <w:rFonts w:ascii="Garamond" w:hAnsi="Garamond" w:cs="Times New Roman"/>
          <w:color w:val="000000"/>
          <w:sz w:val="24"/>
          <w:szCs w:val="24"/>
        </w:rPr>
        <w:t>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depozituar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kallëzim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Posaçme.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kallëzimin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domethënë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audio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përmendur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dorëzonin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Posaçme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sepse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besim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zvarritur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dymbëdhjetë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vjet.</w:t>
      </w:r>
    </w:p>
    <w:p w14:paraId="4D398893" w14:textId="62CC893D" w:rsidR="000C73AE" w:rsidRPr="000D299E" w:rsidRDefault="000C73AE" w:rsidP="000C73AE">
      <w:pPr>
        <w:tabs>
          <w:tab w:val="left" w:pos="440"/>
          <w:tab w:val="left" w:pos="520"/>
          <w:tab w:val="left" w:pos="620"/>
          <w:tab w:val="left" w:pos="700"/>
          <w:tab w:val="left" w:pos="7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VI.</w:t>
      </w:r>
      <w:r w:rsidR="004D3495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Procedurat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dëmshpërblimit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filluara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kërkueset</w:t>
      </w:r>
    </w:p>
    <w:p w14:paraId="33394426" w14:textId="53CFEE1B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83.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shtator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anëtarë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familjes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D3495">
        <w:rPr>
          <w:rFonts w:ascii="Garamond" w:hAnsi="Garamond" w:cs="Times New Roman"/>
          <w:color w:val="000000"/>
          <w:sz w:val="24"/>
          <w:szCs w:val="24"/>
        </w:rPr>
        <w:t>.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depozituan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padi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civile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Shkallës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Padia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dispozita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procedurale,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Civil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D3495">
        <w:rPr>
          <w:rFonts w:ascii="Garamond" w:hAnsi="Garamond" w:cs="Times New Roman"/>
          <w:color w:val="000000"/>
          <w:sz w:val="24"/>
          <w:szCs w:val="24"/>
        </w:rPr>
        <w:t>l</w:t>
      </w:r>
      <w:r w:rsidRPr="000D299E">
        <w:rPr>
          <w:rFonts w:ascii="Garamond" w:hAnsi="Garamond" w:cs="Times New Roman"/>
          <w:color w:val="000000"/>
          <w:sz w:val="24"/>
          <w:szCs w:val="24"/>
        </w:rPr>
        <w:t>igjin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jashtëkontraktore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</w:t>
      </w:r>
      <w:r w:rsidR="004F2E52">
        <w:rPr>
          <w:rFonts w:ascii="Garamond" w:hAnsi="Garamond" w:cs="Times New Roman"/>
          <w:color w:val="000000"/>
          <w:sz w:val="24"/>
          <w:szCs w:val="24"/>
        </w:rPr>
        <w:t>l</w:t>
      </w:r>
      <w:r w:rsidRPr="000D299E">
        <w:rPr>
          <w:rFonts w:ascii="Garamond" w:hAnsi="Garamond" w:cs="Times New Roman"/>
          <w:color w:val="000000"/>
          <w:sz w:val="24"/>
          <w:szCs w:val="24"/>
        </w:rPr>
        <w:t>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8510,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1999</w:t>
      </w:r>
      <w:r w:rsidR="004F2E52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jashtëkontraktore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shtetërore”</w:t>
      </w:r>
      <w:r w:rsidR="004F2E52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ndryshuar).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Paditësit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paditurit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paligjshme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D3495">
        <w:rPr>
          <w:rFonts w:ascii="Garamond" w:hAnsi="Garamond" w:cs="Times New Roman"/>
          <w:color w:val="000000"/>
          <w:sz w:val="24"/>
          <w:szCs w:val="24"/>
        </w:rPr>
        <w:t>.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jopasuror.</w:t>
      </w:r>
    </w:p>
    <w:p w14:paraId="36F829FE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84.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zgjidhte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përputhje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ligjin”.</w:t>
      </w:r>
    </w:p>
    <w:p w14:paraId="696FB3FC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85.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2017,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Shkallës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fuqi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padinë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caktoi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12,834,097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lekë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(afërsisht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103,524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euro).</w:t>
      </w:r>
    </w:p>
    <w:p w14:paraId="7D58CC05" w14:textId="43FF5622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86.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referua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përshkruara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58</w:t>
      </w:r>
      <w:r w:rsidR="004D3495">
        <w:rPr>
          <w:rFonts w:ascii="Garamond" w:hAnsi="Garamond" w:cs="Times New Roman"/>
          <w:color w:val="000000"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64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“vlerësuar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pësuar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2011”.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fundit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reflektoi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mosveprimeve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paligjshme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shtetit.</w:t>
      </w:r>
    </w:p>
    <w:p w14:paraId="5297D739" w14:textId="6B49EEDC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87.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tej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kundërshtim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referua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jurisprudencës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negative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pozitive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shteteve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poshtë:</w:t>
      </w:r>
    </w:p>
    <w:p w14:paraId="262885D8" w14:textId="0E5D5939" w:rsidR="000C73AE" w:rsidRPr="00600D38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600D38">
        <w:rPr>
          <w:rFonts w:ascii="Garamond" w:hAnsi="Garamond" w:cs="Times New Roman"/>
          <w:color w:val="000000"/>
          <w:sz w:val="20"/>
          <w:szCs w:val="20"/>
        </w:rPr>
        <w:t>“Në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çështje,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gjykata,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përveç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[legjislacionit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shqiptar],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referohet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Konventës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4F2E52" w:rsidRPr="00600D38">
        <w:rPr>
          <w:rFonts w:ascii="Garamond" w:hAnsi="Garamond" w:cs="Times New Roman"/>
          <w:color w:val="000000"/>
          <w:sz w:val="20"/>
          <w:szCs w:val="20"/>
        </w:rPr>
        <w:t>Evropiane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Drejtat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Njeriut</w:t>
      </w:r>
      <w:r w:rsidR="004D3495" w:rsidRPr="00600D38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praktikës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gjyqësore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Gjykatës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4F2E52" w:rsidRPr="00600D38">
        <w:rPr>
          <w:rFonts w:ascii="Garamond" w:hAnsi="Garamond" w:cs="Times New Roman"/>
          <w:color w:val="000000"/>
          <w:sz w:val="20"/>
          <w:szCs w:val="20"/>
        </w:rPr>
        <w:t>Evropiane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Drejtave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Njeriut.</w:t>
      </w:r>
    </w:p>
    <w:p w14:paraId="7BA364AA" w14:textId="77777777" w:rsidR="000C73AE" w:rsidRPr="00600D38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600D38">
        <w:rPr>
          <w:rFonts w:ascii="Garamond" w:hAnsi="Garamond" w:cs="Times New Roman"/>
          <w:color w:val="000000"/>
          <w:sz w:val="20"/>
          <w:szCs w:val="20"/>
        </w:rPr>
        <w:t>...</w:t>
      </w:r>
    </w:p>
    <w:p w14:paraId="4659CC9D" w14:textId="2E349761" w:rsidR="000C73AE" w:rsidRPr="00600D38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600D38">
        <w:rPr>
          <w:rFonts w:ascii="Garamond" w:hAnsi="Garamond" w:cs="Times New Roman"/>
          <w:color w:val="000000"/>
          <w:sz w:val="20"/>
          <w:szCs w:val="20"/>
        </w:rPr>
        <w:t>Bazuar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interpretim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Gjykatës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4F2E52" w:rsidRPr="00600D38">
        <w:rPr>
          <w:rFonts w:ascii="Garamond" w:hAnsi="Garamond" w:cs="Times New Roman"/>
          <w:color w:val="000000"/>
          <w:sz w:val="20"/>
          <w:szCs w:val="20"/>
        </w:rPr>
        <w:t>Evropiane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Drejtave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Njeriut,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doli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përfundimin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Republika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Shqipërisë,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përfaqësuar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paditurit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gjykim,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përgjegjëse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humbjen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ndjerit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A[.]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N[.],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21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janar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2011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–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vetëm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bazuar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legjislacionin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shqiptar,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edhe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zbatim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Konventës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4F2E52" w:rsidRPr="00600D38">
        <w:rPr>
          <w:rFonts w:ascii="Garamond" w:hAnsi="Garamond" w:cs="Times New Roman"/>
          <w:color w:val="000000"/>
          <w:sz w:val="20"/>
          <w:szCs w:val="20"/>
        </w:rPr>
        <w:t>Evropiane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Drejtave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Njeriut,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sepse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marrë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gjitha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masat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nevojshme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shmangur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humbjen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ndjerit.</w:t>
      </w:r>
    </w:p>
    <w:p w14:paraId="7E0B6A70" w14:textId="32A03C81" w:rsidR="000C73AE" w:rsidRPr="00600D38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600D38">
        <w:rPr>
          <w:rFonts w:ascii="Garamond" w:hAnsi="Garamond" w:cs="Times New Roman"/>
          <w:color w:val="000000"/>
          <w:sz w:val="20"/>
          <w:szCs w:val="20"/>
        </w:rPr>
        <w:lastRenderedPageBreak/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çështjen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gjykim,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takonte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autoriteteve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shtetërore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(të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paditurve)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[provonin]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ata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kishin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ndërmarrë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gjitha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masat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mundshme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[kundër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rrezikut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jetën],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pavarësisht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nëse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ata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kishin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apo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dijeni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[këtë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rrezik]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parandalimin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600D3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600D38">
        <w:rPr>
          <w:rFonts w:ascii="Garamond" w:hAnsi="Garamond" w:cs="Times New Roman"/>
          <w:color w:val="000000"/>
          <w:sz w:val="20"/>
          <w:szCs w:val="20"/>
        </w:rPr>
        <w:t>dëmit.”</w:t>
      </w:r>
      <w:r w:rsidR="004D3495" w:rsidRPr="00600D38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16FF4EDD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88.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lartpërmendur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plotësisht.</w:t>
      </w:r>
    </w:p>
    <w:p w14:paraId="5B8137A5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KUADRI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PËRKATËS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LIGJOR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material</w:t>
      </w:r>
    </w:p>
    <w:p w14:paraId="07409A19" w14:textId="6558A38C" w:rsidR="000C73AE" w:rsidRPr="000D299E" w:rsidRDefault="000C73AE" w:rsidP="000C73AE">
      <w:pPr>
        <w:tabs>
          <w:tab w:val="left" w:pos="440"/>
          <w:tab w:val="left" w:pos="520"/>
          <w:tab w:val="left" w:pos="620"/>
          <w:tab w:val="left" w:pos="700"/>
          <w:tab w:val="left" w:pos="7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I.</w:t>
      </w:r>
      <w:r w:rsidR="004F2E52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Legjislacioni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brendshëm</w:t>
      </w:r>
    </w:p>
    <w:p w14:paraId="54646CCD" w14:textId="28B3BE4A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A.</w:t>
      </w:r>
      <w:r w:rsidR="004F2E5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Ligji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vitit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1998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(</w:t>
      </w:r>
      <w:r w:rsidR="004F2E52">
        <w:rPr>
          <w:rFonts w:ascii="Garamond" w:hAnsi="Garamond" w:cs="Times New Roman"/>
          <w:b/>
          <w:bCs/>
          <w:color w:val="000000"/>
          <w:sz w:val="24"/>
          <w:szCs w:val="24"/>
        </w:rPr>
        <w:t>l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igji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8290,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datë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24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1998</w:t>
      </w:r>
      <w:r w:rsidR="004F2E52">
        <w:rPr>
          <w:rFonts w:ascii="Garamond" w:hAnsi="Garamond" w:cs="Times New Roman"/>
          <w:b/>
          <w:bCs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="004D3495">
        <w:rPr>
          <w:rFonts w:ascii="Garamond" w:hAnsi="Garamond" w:cs="Times New Roman"/>
          <w:b/>
          <w:bCs/>
          <w:color w:val="000000"/>
          <w:sz w:val="24"/>
          <w:szCs w:val="24"/>
        </w:rPr>
        <w:t>“</w:t>
      </w:r>
      <w:r w:rsidR="004D3495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Për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zjarrit</w:t>
      </w:r>
      <w:r w:rsidR="004D3495">
        <w:rPr>
          <w:rFonts w:ascii="Garamond" w:hAnsi="Garamond" w:cs="Times New Roman"/>
          <w:b/>
          <w:bCs/>
          <w:color w:val="000000"/>
          <w:sz w:val="24"/>
          <w:szCs w:val="24"/>
        </w:rPr>
        <w:t>”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ndryshuar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ligjin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10291,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datë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24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qershor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2010)</w:t>
      </w:r>
    </w:p>
    <w:p w14:paraId="2BAEC566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89.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lexojnë:</w:t>
      </w:r>
    </w:p>
    <w:p w14:paraId="6AD7941F" w14:textId="77777777" w:rsidR="000C73AE" w:rsidRPr="004D3495" w:rsidRDefault="000C73AE" w:rsidP="004D349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0"/>
          <w:szCs w:val="20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“</w:t>
      </w:r>
      <w:r w:rsidRPr="004D3495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2</w:t>
      </w:r>
    </w:p>
    <w:p w14:paraId="6B5A60B2" w14:textId="695FBA35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Forcat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Armatosura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Republikës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Shqipërisë,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policisë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armatosura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krijuara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cilat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përbërje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Forcave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Armatosura,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rojat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civilë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armatosur,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drejtë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mbrojtur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jetën,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shëndetin,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drejtat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interesat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tjetri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sulm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padrejtë,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vërtetë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çastit,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kusht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karakteri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mbrojtjes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proporcion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rrezikshmërinë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sulmit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(në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kushtet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mbrojtjes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nevojshme),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kërkohet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përballuar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rrezik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real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çastit,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kërcënon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tjetër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apo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pasurinë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dëmtim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rëndë,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kusht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mos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provokuar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prej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tij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dëmi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shkaktuar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mos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madh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dëmi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zmbrapsur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(në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kushtet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nevojës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ekstreme).</w:t>
      </w:r>
    </w:p>
    <w:p w14:paraId="053C7B30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...</w:t>
      </w:r>
    </w:p>
    <w:p w14:paraId="7C4E90EA" w14:textId="77777777" w:rsidR="000C73AE" w:rsidRPr="004D3495" w:rsidRDefault="000C73AE" w:rsidP="004D349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5</w:t>
      </w:r>
    </w:p>
    <w:p w14:paraId="6D1A4EDA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Armët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lejohen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përdoren:</w:t>
      </w:r>
    </w:p>
    <w:p w14:paraId="254FE620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a)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kundër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dukje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tregojnë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mitur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(fëmijë),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pleq;</w:t>
      </w:r>
    </w:p>
    <w:p w14:paraId="053C26E1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b)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vende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publike,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mbledhje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grumbullime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njerëzish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vihet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rrezik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tjerëve.</w:t>
      </w:r>
    </w:p>
    <w:p w14:paraId="6FAC43A0" w14:textId="2260DB9E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Armët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këto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raste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vetëm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kundër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veçantë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kryejnë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vepra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dukshme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kundër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pasurisë,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vetvete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përbëjnë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shkelje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rënda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përdorimi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masave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shtrënguese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dhënë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rezultatet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dëshiruara.”</w:t>
      </w:r>
      <w:r w:rsidR="004D3495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3EAB52AD" w14:textId="24F4089F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90.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1998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shfuqizua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zëvendësua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</w:t>
      </w:r>
      <w:r w:rsidR="004F2E52">
        <w:rPr>
          <w:rFonts w:ascii="Garamond" w:hAnsi="Garamond" w:cs="Times New Roman"/>
          <w:color w:val="000000"/>
          <w:sz w:val="24"/>
          <w:szCs w:val="24"/>
        </w:rPr>
        <w:t>l</w:t>
      </w:r>
      <w:r w:rsidRPr="000D299E">
        <w:rPr>
          <w:rFonts w:ascii="Garamond" w:hAnsi="Garamond" w:cs="Times New Roman"/>
          <w:color w:val="000000"/>
          <w:sz w:val="24"/>
          <w:szCs w:val="24"/>
        </w:rPr>
        <w:t>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72/2014</w:t>
      </w:r>
      <w:r w:rsidR="004F2E52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korrikut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</w:t>
      </w:r>
      <w:r w:rsidR="004F2E52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D3495">
        <w:rPr>
          <w:rFonts w:ascii="Garamond" w:hAnsi="Garamond" w:cs="Times New Roman"/>
          <w:color w:val="000000"/>
          <w:sz w:val="24"/>
          <w:szCs w:val="24"/>
        </w:rPr>
        <w:t>“</w:t>
      </w:r>
      <w:r w:rsidR="004D3495" w:rsidRPr="000D299E">
        <w:rPr>
          <w:rFonts w:ascii="Garamond" w:hAnsi="Garamond" w:cs="Times New Roman"/>
          <w:color w:val="000000"/>
          <w:sz w:val="24"/>
          <w:szCs w:val="24"/>
        </w:rPr>
        <w:t xml:space="preserve">Për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D3495">
        <w:rPr>
          <w:rFonts w:ascii="Garamond" w:hAnsi="Garamond" w:cs="Times New Roman"/>
          <w:color w:val="000000"/>
          <w:sz w:val="24"/>
          <w:szCs w:val="24"/>
        </w:rPr>
        <w:t>”</w:t>
      </w:r>
      <w:r w:rsidRPr="000D299E">
        <w:rPr>
          <w:rFonts w:ascii="Garamond" w:hAnsi="Garamond" w:cs="Times New Roman"/>
          <w:color w:val="000000"/>
          <w:sz w:val="24"/>
          <w:szCs w:val="24"/>
        </w:rPr>
        <w:t>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lexojnë:</w:t>
      </w:r>
    </w:p>
    <w:p w14:paraId="4D8F92EF" w14:textId="77777777" w:rsidR="000C73AE" w:rsidRPr="004D3495" w:rsidRDefault="000C73AE" w:rsidP="004D349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0"/>
          <w:szCs w:val="20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“</w:t>
      </w:r>
      <w:r w:rsidRPr="004D3495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4</w:t>
      </w:r>
    </w:p>
    <w:p w14:paraId="1804BDBB" w14:textId="77777777" w:rsidR="000C73AE" w:rsidRPr="004D3495" w:rsidRDefault="000C73AE" w:rsidP="004D349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  <w:r w:rsidRPr="004D3495">
        <w:rPr>
          <w:rFonts w:ascii="Garamond" w:hAnsi="Garamond" w:cs="Times New Roman"/>
          <w:b/>
          <w:color w:val="000000"/>
          <w:sz w:val="20"/>
          <w:szCs w:val="20"/>
        </w:rPr>
        <w:t>Kushtet</w:t>
      </w:r>
      <w:r w:rsidR="004328D9" w:rsidRPr="004D3495">
        <w:rPr>
          <w:rFonts w:ascii="Garamond" w:hAnsi="Garamond" w:cs="Times New Roman"/>
          <w:b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b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b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b/>
          <w:color w:val="000000"/>
          <w:sz w:val="20"/>
          <w:szCs w:val="20"/>
        </w:rPr>
        <w:t>përdorimit</w:t>
      </w:r>
      <w:r w:rsidR="004328D9" w:rsidRPr="004D3495">
        <w:rPr>
          <w:rFonts w:ascii="Garamond" w:hAnsi="Garamond" w:cs="Times New Roman"/>
          <w:b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b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b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b/>
          <w:color w:val="000000"/>
          <w:sz w:val="20"/>
          <w:szCs w:val="20"/>
        </w:rPr>
        <w:t>armës</w:t>
      </w:r>
    </w:p>
    <w:p w14:paraId="08EF7FC9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1.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Punonjësit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Policisë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i/>
          <w:iCs/>
          <w:color w:val="000000"/>
          <w:sz w:val="20"/>
          <w:szCs w:val="20"/>
        </w:rPr>
        <w:t>subjektet</w:t>
      </w:r>
      <w:r w:rsidR="004328D9" w:rsidRPr="004D3495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i/>
          <w:iCs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i/>
          <w:iCs/>
          <w:color w:val="000000"/>
          <w:sz w:val="20"/>
          <w:szCs w:val="20"/>
        </w:rPr>
        <w:t>tjera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shërbimit,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ushtrim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detyrave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përputhje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dispozitat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këtij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ligji,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vetëm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atëherë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absolutisht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domosdoshme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vetëm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mjet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fundit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parandaluar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neutralizuar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veprimet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rrezikshme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rrezikshmëri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lartë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shëndetin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tij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tretë,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mjetet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përdorimit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forcës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dhënë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rezultat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arrijnë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objektivat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ligjshëm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detyrave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funksionale.</w:t>
      </w:r>
    </w:p>
    <w:p w14:paraId="6A997B74" w14:textId="3EB979F3" w:rsidR="000C73AE" w:rsidRPr="004D3495" w:rsidRDefault="000C73AE" w:rsidP="004D34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2.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Shmangia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rreziku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nëpërmjet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përdorimit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subjektet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njihet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kjo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drejtë,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bëhet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mbrojtur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jetën,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shëndetin,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drejtat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interesat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tjetri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sulm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padrejtë,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vërtetë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çastit,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kusht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karakteri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mbrojtjes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proporcion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rrezikshmërinë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sulmit,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kërkohet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përballuar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rrezik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real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çastit,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kërcënon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tjetër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apo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pasurinë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dëmtim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rëndë,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kusht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mos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provokuar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prej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tij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dëmi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shkaktuar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mos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madh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dëmi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zmbrapsur.</w:t>
      </w:r>
    </w:p>
    <w:p w14:paraId="1D21FF23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...</w:t>
      </w:r>
    </w:p>
    <w:p w14:paraId="3C45AE11" w14:textId="77777777" w:rsidR="000C73AE" w:rsidRPr="004D3495" w:rsidRDefault="000C73AE" w:rsidP="004D349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7</w:t>
      </w:r>
    </w:p>
    <w:p w14:paraId="58339F89" w14:textId="77777777" w:rsidR="000C73AE" w:rsidRPr="004D3495" w:rsidRDefault="000C73AE" w:rsidP="004D349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="Times New Roman"/>
          <w:b/>
          <w:color w:val="000000"/>
          <w:sz w:val="20"/>
          <w:szCs w:val="20"/>
        </w:rPr>
      </w:pPr>
      <w:r w:rsidRPr="004D3495">
        <w:rPr>
          <w:rFonts w:ascii="Garamond" w:hAnsi="Garamond" w:cs="Times New Roman"/>
          <w:b/>
          <w:color w:val="000000"/>
          <w:sz w:val="20"/>
          <w:szCs w:val="20"/>
        </w:rPr>
        <w:t>Shmangia</w:t>
      </w:r>
      <w:r w:rsidR="004328D9" w:rsidRPr="004D3495">
        <w:rPr>
          <w:rFonts w:ascii="Garamond" w:hAnsi="Garamond" w:cs="Times New Roman"/>
          <w:b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b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b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b/>
          <w:color w:val="000000"/>
          <w:sz w:val="20"/>
          <w:szCs w:val="20"/>
        </w:rPr>
        <w:t>rrezikut</w:t>
      </w:r>
      <w:r w:rsidR="004328D9" w:rsidRPr="004D3495">
        <w:rPr>
          <w:rFonts w:ascii="Garamond" w:hAnsi="Garamond" w:cs="Times New Roman"/>
          <w:b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b/>
          <w:color w:val="000000"/>
          <w:sz w:val="20"/>
          <w:szCs w:val="20"/>
        </w:rPr>
        <w:t>publik</w:t>
      </w:r>
    </w:p>
    <w:p w14:paraId="4F7C310C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1.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Përdorimi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shmangur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rrezik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publik,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paraqet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tubim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dhunshëm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personash,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bëhet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përputhje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parashikimet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këtij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ligji.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</w:p>
    <w:p w14:paraId="6A7270E0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2.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Përdorimi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lejueshëm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vetëm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kundër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veçantë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armatosur,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cilët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kryejnë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vepra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dukshme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kundër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shërbimeve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policisë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shërbimeve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kryejnë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subjektet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mbajnë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përdorimi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masave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shtrënguese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dhënë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rezultatet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dëshiruara.</w:t>
      </w:r>
    </w:p>
    <w:p w14:paraId="43612135" w14:textId="125D3712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3.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Ndalohet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qëlluarit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ajër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grumbullime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njerëzish,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mënyrë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shpërndarjen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tyre.</w:t>
      </w:r>
      <w:r w:rsidR="004D3495">
        <w:rPr>
          <w:rFonts w:ascii="Garamond" w:hAnsi="Garamond" w:cs="Times New Roman"/>
          <w:color w:val="000000"/>
          <w:sz w:val="20"/>
          <w:szCs w:val="20"/>
        </w:rPr>
        <w:t>”.</w:t>
      </w:r>
    </w:p>
    <w:p w14:paraId="0043D44F" w14:textId="02F28278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B.</w:t>
      </w:r>
      <w:r w:rsidR="004D3495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Ligji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vitit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2003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(</w:t>
      </w:r>
      <w:r w:rsidR="004F2E52">
        <w:rPr>
          <w:rFonts w:ascii="Garamond" w:hAnsi="Garamond" w:cs="Times New Roman"/>
          <w:b/>
          <w:bCs/>
          <w:color w:val="000000"/>
          <w:sz w:val="24"/>
          <w:szCs w:val="24"/>
        </w:rPr>
        <w:t>l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igji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8869,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datë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maj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2003</w:t>
      </w:r>
      <w:r w:rsidR="004F2E52">
        <w:rPr>
          <w:rFonts w:ascii="Garamond" w:hAnsi="Garamond" w:cs="Times New Roman"/>
          <w:b/>
          <w:bCs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="004D3495">
        <w:rPr>
          <w:rFonts w:ascii="Garamond" w:hAnsi="Garamond" w:cs="Times New Roman"/>
          <w:b/>
          <w:bCs/>
          <w:color w:val="000000"/>
          <w:sz w:val="24"/>
          <w:szCs w:val="24"/>
        </w:rPr>
        <w:t>“</w:t>
      </w:r>
      <w:r w:rsidR="004D3495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Për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Shqipërisë</w:t>
      </w:r>
      <w:r w:rsidR="004D3495">
        <w:rPr>
          <w:rFonts w:ascii="Garamond" w:hAnsi="Garamond" w:cs="Times New Roman"/>
          <w:b/>
          <w:bCs/>
          <w:color w:val="000000"/>
          <w:sz w:val="24"/>
          <w:szCs w:val="24"/>
        </w:rPr>
        <w:t>”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ndryshuar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ligjin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9366,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datë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31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mars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2005)</w:t>
      </w:r>
    </w:p>
    <w:p w14:paraId="45349D4F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91.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lexon:</w:t>
      </w:r>
    </w:p>
    <w:p w14:paraId="0E83CBE7" w14:textId="3974F4DB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lastRenderedPageBreak/>
        <w:t>Punonjësi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Gardës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rastet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përcaktuara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nr.</w:t>
      </w:r>
      <w:r w:rsidR="004F2E52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8290,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datë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24.2.1998</w:t>
      </w:r>
      <w:r w:rsidR="004F2E52" w:rsidRPr="004D3495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“Për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përdorimin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zjarrit”,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rastet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sulmohen:</w:t>
      </w:r>
    </w:p>
    <w:p w14:paraId="71320381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personalitetet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larta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shtetërore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vendit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huaja;</w:t>
      </w:r>
    </w:p>
    <w:p w14:paraId="26BD5A9C" w14:textId="2C83E985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rojet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objektet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ruajtje.”</w:t>
      </w:r>
      <w:r w:rsidR="004D3495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4949D821" w14:textId="6F136BBF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92.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2003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shfuqizua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zëvendësua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D3495">
        <w:rPr>
          <w:rFonts w:ascii="Garamond" w:hAnsi="Garamond" w:cs="Times New Roman"/>
          <w:color w:val="000000"/>
          <w:sz w:val="24"/>
          <w:szCs w:val="24"/>
        </w:rPr>
        <w:t>“</w:t>
      </w:r>
      <w:r w:rsidR="004D3495" w:rsidRPr="000D299E">
        <w:rPr>
          <w:rFonts w:ascii="Garamond" w:hAnsi="Garamond" w:cs="Times New Roman"/>
          <w:color w:val="000000"/>
          <w:sz w:val="24"/>
          <w:szCs w:val="24"/>
        </w:rPr>
        <w:t xml:space="preserve">Për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D3495">
        <w:rPr>
          <w:rFonts w:ascii="Garamond" w:hAnsi="Garamond" w:cs="Times New Roman"/>
          <w:color w:val="000000"/>
          <w:sz w:val="24"/>
          <w:szCs w:val="24"/>
        </w:rPr>
        <w:t>”,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</w:t>
      </w:r>
      <w:r w:rsidR="004F2E52">
        <w:rPr>
          <w:rFonts w:ascii="Garamond" w:hAnsi="Garamond" w:cs="Times New Roman"/>
          <w:color w:val="000000"/>
          <w:sz w:val="24"/>
          <w:szCs w:val="24"/>
        </w:rPr>
        <w:t>l</w:t>
      </w:r>
      <w:r w:rsidRPr="000D299E">
        <w:rPr>
          <w:rFonts w:ascii="Garamond" w:hAnsi="Garamond" w:cs="Times New Roman"/>
          <w:color w:val="000000"/>
          <w:sz w:val="24"/>
          <w:szCs w:val="24"/>
        </w:rPr>
        <w:t>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33/2021</w:t>
      </w:r>
      <w:r w:rsidR="004F2E52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</w:t>
      </w:r>
      <w:r w:rsidR="004F2E52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D3495">
        <w:rPr>
          <w:rFonts w:ascii="Garamond" w:hAnsi="Garamond" w:cs="Times New Roman"/>
          <w:color w:val="000000"/>
          <w:sz w:val="24"/>
          <w:szCs w:val="24"/>
        </w:rPr>
        <w:t>“</w:t>
      </w:r>
      <w:r w:rsidR="004D3495" w:rsidRPr="000D299E">
        <w:rPr>
          <w:rFonts w:ascii="Garamond" w:hAnsi="Garamond" w:cs="Times New Roman"/>
          <w:color w:val="000000"/>
          <w:sz w:val="24"/>
          <w:szCs w:val="24"/>
        </w:rPr>
        <w:t xml:space="preserve">Për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Shqipërisë</w:t>
      </w:r>
      <w:r w:rsidR="004D3495">
        <w:rPr>
          <w:rFonts w:ascii="Garamond" w:hAnsi="Garamond" w:cs="Times New Roman"/>
          <w:color w:val="000000"/>
          <w:sz w:val="24"/>
          <w:szCs w:val="24"/>
        </w:rPr>
        <w:t>”</w:t>
      </w:r>
      <w:r w:rsidRPr="000D299E">
        <w:rPr>
          <w:rFonts w:ascii="Garamond" w:hAnsi="Garamond" w:cs="Times New Roman"/>
          <w:color w:val="000000"/>
          <w:sz w:val="24"/>
          <w:szCs w:val="24"/>
        </w:rPr>
        <w:t>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lexojnë:</w:t>
      </w:r>
    </w:p>
    <w:p w14:paraId="30F55271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“</w:t>
      </w:r>
      <w:r w:rsidRPr="004D3495">
        <w:rPr>
          <w:rFonts w:ascii="Garamond" w:hAnsi="Garamond" w:cs="Times New Roman"/>
          <w:color w:val="000000"/>
          <w:sz w:val="20"/>
          <w:szCs w:val="20"/>
        </w:rPr>
        <w:t>1.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Garda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Republikës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përgjegjësi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këto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detyra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kryesore:</w:t>
      </w:r>
    </w:p>
    <w:p w14:paraId="4E687478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...</w:t>
      </w:r>
    </w:p>
    <w:p w14:paraId="1848FB02" w14:textId="571966E9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nj)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organikë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Gardës,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legjislacionit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fuqi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përdorimin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zjarrit;”</w:t>
      </w:r>
      <w:r w:rsidR="004D3495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42D24648" w14:textId="1A4593A9" w:rsidR="000C73AE" w:rsidRPr="000D299E" w:rsidRDefault="000C73AE" w:rsidP="000C73AE">
      <w:pPr>
        <w:tabs>
          <w:tab w:val="left" w:pos="440"/>
          <w:tab w:val="left" w:pos="520"/>
          <w:tab w:val="left" w:pos="620"/>
          <w:tab w:val="left" w:pos="700"/>
          <w:tab w:val="left" w:pos="7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II.</w:t>
      </w:r>
      <w:r w:rsidR="004F2E52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Komisioneri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Këshillit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="004F2E52" w:rsidRPr="000D299E">
        <w:rPr>
          <w:rFonts w:ascii="Garamond" w:hAnsi="Garamond" w:cs="Times New Roman"/>
          <w:caps/>
          <w:color w:val="000000"/>
          <w:sz w:val="24"/>
          <w:szCs w:val="24"/>
        </w:rPr>
        <w:t>EVROPËS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Drejtat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Njeriut</w:t>
      </w:r>
    </w:p>
    <w:p w14:paraId="62386706" w14:textId="1935E094" w:rsidR="000C73AE" w:rsidRPr="000D299E" w:rsidRDefault="000C73AE" w:rsidP="004D349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93.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vizite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Shqipëri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njeriut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Këshillit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F2E52" w:rsidRPr="000D299E">
        <w:rPr>
          <w:rFonts w:ascii="Garamond" w:hAnsi="Garamond" w:cs="Times New Roman"/>
          <w:color w:val="000000"/>
          <w:sz w:val="24"/>
          <w:szCs w:val="24"/>
        </w:rPr>
        <w:t>Evropës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Njeriut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(“Komisioneri”)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publikoi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(CommDH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(2011)9).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përshkruante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poshtë:</w:t>
      </w:r>
    </w:p>
    <w:p w14:paraId="28D54612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“</w:t>
      </w:r>
      <w:r w:rsidRPr="004D3495">
        <w:rPr>
          <w:rFonts w:ascii="Garamond" w:hAnsi="Garamond" w:cs="Times New Roman"/>
          <w:color w:val="000000"/>
          <w:sz w:val="20"/>
          <w:szCs w:val="20"/>
        </w:rPr>
        <w:t>6.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21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janar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2011,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menjëherë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demonstruesit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mblodhën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Kryeministrisë,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ndodhën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përplasje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grupi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prej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disa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qindra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personash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policisë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ndodhej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përpara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ndërtesës.</w:t>
      </w:r>
    </w:p>
    <w:p w14:paraId="18EDE1CE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7.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perceptime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ndryshme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kontradiktore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ndodhi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vërtetë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situata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evoluoi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doli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kontrollit.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Grupimet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politike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japin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rrëfime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kontradiktore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pyetjen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kush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provokoi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shpërthimin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–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demonstruesit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apo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policia.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autoriteteve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shtetërore,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protesta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organizua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opozita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rrëzuar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pushtetin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ndërsa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opozita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shprehet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ishte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policia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ajo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provokoi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protestuesit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pothuajse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menjëherë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fillimit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demonstratës.</w:t>
      </w:r>
    </w:p>
    <w:p w14:paraId="78FC5753" w14:textId="5767271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8.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Duket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qartë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grup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demonstruesish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akte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ndaj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policisë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Gardës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Republikës,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duke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hedhur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gurë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duke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shkopinjtë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pankartave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t’i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goditur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ata.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Disa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protestues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dogjën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gjithashtu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makina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parkuara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pranë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vendit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protestës.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kundërpërgjigje,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policia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mjetesh</w:t>
      </w:r>
      <w:r w:rsidR="004D3495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D3495">
        <w:rPr>
          <w:rFonts w:ascii="Garamond" w:hAnsi="Garamond" w:cs="Times New Roman"/>
          <w:color w:val="000000"/>
          <w:sz w:val="20"/>
          <w:szCs w:val="20"/>
        </w:rPr>
        <w:t>: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shkopinj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gome,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topa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uji,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gaz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lotsjellës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plumba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gome.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pasojë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përplasjes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demonstruesve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policisë,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dhjetëra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plagosën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dyja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palët.</w:t>
      </w:r>
    </w:p>
    <w:p w14:paraId="03AF13E7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9.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fazë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mëvonshme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gjatë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demonstratës,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pjesëtarë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Gardës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Republikës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Katër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protestues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vdiqën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disa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plagosën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shtënat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armë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zjarri,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pikëpyetje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ligjshmërinë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proporcionalitetin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përdorimit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forcës.</w:t>
      </w:r>
    </w:p>
    <w:p w14:paraId="6E9B250F" w14:textId="3BC5CE33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10.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Kryeministri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4D3495">
        <w:rPr>
          <w:rFonts w:ascii="Garamond" w:hAnsi="Garamond" w:cs="Times New Roman"/>
          <w:color w:val="000000"/>
          <w:sz w:val="20"/>
          <w:szCs w:val="20"/>
        </w:rPr>
        <w:t>m</w:t>
      </w:r>
      <w:r w:rsidRPr="004D3495">
        <w:rPr>
          <w:rFonts w:ascii="Garamond" w:hAnsi="Garamond" w:cs="Times New Roman"/>
          <w:color w:val="000000"/>
          <w:sz w:val="20"/>
          <w:szCs w:val="20"/>
        </w:rPr>
        <w:t>inistri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Brendshëm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informuan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Komisionerin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Garda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Republikës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kishte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drejtë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forcën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vdekjeprurëse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rrethana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veçanta,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ishte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shkelur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perimetri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sigurisë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objekteve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qeveritare.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Ndërkohë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Komisioneri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kuptoi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katër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vrasjet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fakt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ndodhën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perimetrit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sigurisë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godinës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Kryeministrisë,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ministrat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pohuan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protestuesit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ishin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përpjekur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hynin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oborr”.</w:t>
      </w:r>
    </w:p>
    <w:p w14:paraId="50E9ADBB" w14:textId="1757DCE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94.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urdhërarrestet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lëshuara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përmendur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theksoi:</w:t>
      </w:r>
    </w:p>
    <w:p w14:paraId="2FBAAD63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“21.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Prokuroria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Përgjithshme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filloi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hetimin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ngjarjet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21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janarit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2011.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Kuptohet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fillim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fokusi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ishte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vdekjen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katër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ishin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goditur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plumba.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mëngjesin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22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janarit,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Prokurorja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Përgjithshme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nxori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urdhrat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ndalimit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ndaj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gjashtë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drejtuesve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Gardës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Republikës,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qëllim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marrjen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deklarimeve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lidhje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ngjarjet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21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janarit.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Urdhrat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ekzekutuan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autoritetet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policore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8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shkurt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2011,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gjashtë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oficerët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dhanë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deklarimin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prokurorëve.</w:t>
      </w:r>
    </w:p>
    <w:p w14:paraId="279A6943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22.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Komisioneri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mësoi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Prokurorja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Përgjithshme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ishte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kritikuar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politikanët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kryesues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pozita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saj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ishte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kthyer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çështje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diskursin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polarizuar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politik.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Megjithatë,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përfaqësues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dy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grupimeve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politike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deklaruan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Komisionerit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kishte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alternativë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tjetër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Prokuroren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Përgjithshme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lidhje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këto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hetime.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Megjithatë,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Komisioneri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kuptoi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puna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Zyrës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saj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ndiqej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mënyrë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kritike”.</w:t>
      </w:r>
    </w:p>
    <w:p w14:paraId="69C4EEF4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95.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shtoi:</w:t>
      </w:r>
    </w:p>
    <w:p w14:paraId="430FE8A6" w14:textId="4B512FEC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“28.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Shumatorja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gjithë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kësaj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Prokuroria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Përgjithshme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përballet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detyrë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jashtëzakonisht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vështirë.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Fokusi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përgatitjen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ndjekjes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penale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kundër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atyre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dyshohet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krime.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pranuar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disa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aktet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ditë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konsiderohen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krime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pavarësisht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klima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politike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kush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filloi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spiralen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negative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dhunës.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tillë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rasti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goditjeve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vdekjeprurëse;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sulmeve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disa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demonstrues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kundër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policisë;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paprovokuar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policore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gjatë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arrestimeve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transportimit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kapur.”</w:t>
      </w:r>
      <w:r w:rsidR="004F2E52" w:rsidRPr="004D3495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545CF242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96.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shpreh:</w:t>
      </w:r>
    </w:p>
    <w:p w14:paraId="0CC6B289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“V.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Konkluzione</w:t>
      </w:r>
    </w:p>
    <w:p w14:paraId="3DBBDC1B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lastRenderedPageBreak/>
        <w:t>29.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Nevojiten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hetime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plota,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paanshme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besueshme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shkeljet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drejtave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njeriut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ndodhën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21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janar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2011.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Përgjegjësit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aktet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shkeljet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tjera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drejtave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njeriut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mbajnë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përgjegjësi.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Kjo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nevojshme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vendosur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drejtësinë,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parandaluar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zhvillime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tilla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rënda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ardhmen.</w:t>
      </w:r>
    </w:p>
    <w:p w14:paraId="6AF7C356" w14:textId="77777777" w:rsidR="000C73AE" w:rsidRPr="004D3495" w:rsidRDefault="000C73AE" w:rsidP="000C73AE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30.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Komisioneri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përshëndeti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faktin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përfaqësues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dy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grupimeve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politike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deklaruan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Prokuroria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Përgjithshme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hetimin;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alternativë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tjetër.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Megjithatë,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Prokuroria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Prokurorja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Përgjithshme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janë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vënë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shënjestër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deklaratave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politike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papërshtatshme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tejet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kritike.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Kjo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shmanget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tani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tutje.</w:t>
      </w:r>
    </w:p>
    <w:p w14:paraId="3E0D97AE" w14:textId="77777777" w:rsidR="000C73AE" w:rsidRPr="004D3495" w:rsidRDefault="000C73AE" w:rsidP="004F2E52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31.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Natyrisht,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polarizimi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thellë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politik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bën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veçanërisht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delikate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vështirë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detyrën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Prokurorisë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Përgjithshme.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rëndësishme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gjithë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shmangin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ndërhyrjen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hetimet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vazhdim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autoritetet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përkatëse,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përfshirë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policinë,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bashkëpunojnë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plotësisht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menjëherë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prokurorinë”.</w:t>
      </w:r>
    </w:p>
    <w:p w14:paraId="069358C3" w14:textId="77777777" w:rsidR="000C73AE" w:rsidRPr="000D299E" w:rsidRDefault="000C73AE" w:rsidP="000C73AE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LEGJISLACIONI</w:t>
      </w:r>
    </w:p>
    <w:p w14:paraId="5DC0DB53" w14:textId="7EC12A50" w:rsidR="000C73AE" w:rsidRPr="000D299E" w:rsidRDefault="000C73AE" w:rsidP="000C73AE">
      <w:pPr>
        <w:tabs>
          <w:tab w:val="left" w:pos="440"/>
          <w:tab w:val="left" w:pos="520"/>
          <w:tab w:val="left" w:pos="560"/>
          <w:tab w:val="left" w:pos="620"/>
          <w:tab w:val="left" w:pos="700"/>
          <w:tab w:val="left" w:pos="7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I.</w:t>
      </w:r>
      <w:r w:rsidR="004F2E52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SHKELJA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DYSHUAR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KONVENTËS</w:t>
      </w:r>
    </w:p>
    <w:p w14:paraId="4AAAD89E" w14:textId="1A66FB2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97.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mbështetur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D349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D3495">
        <w:rPr>
          <w:rFonts w:ascii="Garamond" w:hAnsi="Garamond" w:cs="Times New Roman"/>
          <w:color w:val="000000"/>
          <w:sz w:val="24"/>
          <w:szCs w:val="24"/>
        </w:rPr>
        <w:t>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material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efektivitetit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familjarit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D3495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kompetente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cilësimin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problemet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ngritura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shqyrtohen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këndvështrimi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Jelić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Kroacisë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57856/11,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107</w:t>
      </w:r>
      <w:r w:rsidR="004F2E52">
        <w:rPr>
          <w:rFonts w:ascii="Garamond" w:hAnsi="Garamond"/>
          <w:i/>
          <w:iCs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09,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qershor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M.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Kroacisë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50175/12,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2017)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lexon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poshtë:</w:t>
      </w:r>
    </w:p>
    <w:p w14:paraId="1744FA98" w14:textId="77777777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“1.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drejta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çdo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njeriu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mbrohet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Askujt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t’i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merret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qëllimisht,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përjashtim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rastit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zbatohet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vendim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gjyqësor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vdekje,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dënimit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cilin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ky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dënim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parashikuar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ligj.</w:t>
      </w:r>
    </w:p>
    <w:p w14:paraId="75E6578B" w14:textId="7C0EECCC" w:rsidR="000C73AE" w:rsidRPr="004D3495" w:rsidRDefault="000C73AE" w:rsidP="006C48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2.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Marrja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konsiderohet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shkaktuar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kundërshtim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rastet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ajo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vjen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pasojë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përdorimit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forcës,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shumë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absolutisht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nevojshme:</w:t>
      </w:r>
    </w:p>
    <w:p w14:paraId="20B97339" w14:textId="295D354B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a)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mbrojtje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çdo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dhuna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paligjshme;</w:t>
      </w:r>
    </w:p>
    <w:p w14:paraId="058611C6" w14:textId="77D23983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b)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arrestim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ligjshëm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parandaluar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arratisjen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personi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cilit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hequr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liria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ligjërisht;</w:t>
      </w:r>
    </w:p>
    <w:p w14:paraId="03649806" w14:textId="639F50A2" w:rsidR="000C73AE" w:rsidRPr="004D3495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D3495">
        <w:rPr>
          <w:rFonts w:ascii="Garamond" w:hAnsi="Garamond" w:cs="Times New Roman"/>
          <w:color w:val="000000"/>
          <w:sz w:val="20"/>
          <w:szCs w:val="20"/>
        </w:rPr>
        <w:t>c)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kundërshtuar,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përputhje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ligjin,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trazirë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4D349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D3495">
        <w:rPr>
          <w:rFonts w:ascii="Garamond" w:hAnsi="Garamond" w:cs="Times New Roman"/>
          <w:color w:val="000000"/>
          <w:sz w:val="20"/>
          <w:szCs w:val="20"/>
        </w:rPr>
        <w:t>kryengritje.”</w:t>
      </w:r>
      <w:r w:rsidR="006C487F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4528CF68" w14:textId="1B3530E9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A.</w:t>
      </w:r>
      <w:r w:rsidR="004F2E5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Aspekti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procedural</w:t>
      </w:r>
    </w:p>
    <w:p w14:paraId="49A9AF95" w14:textId="71E540DF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1.</w:t>
      </w:r>
      <w:r w:rsidR="006C487F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Pranueshmëria</w:t>
      </w:r>
    </w:p>
    <w:p w14:paraId="0DC1C910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98.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vijim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juridike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ende.</w:t>
      </w:r>
    </w:p>
    <w:p w14:paraId="5E4B2DCC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99.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komentuan.</w:t>
      </w:r>
    </w:p>
    <w:p w14:paraId="0528D3CA" w14:textId="4C32CD61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100.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papranueshmëri</w:t>
      </w:r>
      <w:r w:rsidR="006C487F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parakohshëm</w:t>
      </w:r>
      <w:r w:rsidR="006C487F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ngushtë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themelin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efektivitetit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Prandaj,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kundërshtimi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themelin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procedural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2.</w:t>
      </w:r>
    </w:p>
    <w:p w14:paraId="0A519659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101.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haptazi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pabazuar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papranueshëm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shkaqet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renditura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Prandaj,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shpallet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pranueshëm.</w:t>
      </w:r>
    </w:p>
    <w:p w14:paraId="77017D04" w14:textId="53FDE299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2.</w:t>
      </w:r>
      <w:r w:rsidR="006C487F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Themeli</w:t>
      </w:r>
    </w:p>
    <w:p w14:paraId="0F25F47F" w14:textId="4DEAE8B0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a)</w:t>
      </w:r>
      <w:r w:rsidR="006C487F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Parashtrimet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palëve</w:t>
      </w:r>
    </w:p>
    <w:p w14:paraId="3E21714C" w14:textId="77CE6660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102.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procedural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efektivitetit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argumentuan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shqyrtim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pavarur.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ekzekutuar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ndalimit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fshehur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videoregjistrimet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</w:p>
    <w:p w14:paraId="24043D30" w14:textId="0F842FD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103.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kundërshtuan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6C487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(përveç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6C487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legjislacionit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shqiptar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akuzoheshin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vrasje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bashkëpunim.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statusi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ecurinë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hetimit.</w:t>
      </w:r>
    </w:p>
    <w:p w14:paraId="51AC2657" w14:textId="619A1ACC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104.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kritikuan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vendase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sepse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sepse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ekspertizën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6C487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sqaruar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trajektoren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material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transportuar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origjinale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rëndësishme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6C487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gjerësisht,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ndonjëherë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hequr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6C487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</w:p>
    <w:p w14:paraId="5447B185" w14:textId="3E4228D0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105.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sqaruar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theksuan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ekspertiza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6C487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6C487F">
        <w:rPr>
          <w:rFonts w:ascii="Garamond" w:hAnsi="Garamond" w:cs="Times New Roman"/>
          <w:color w:val="000000"/>
          <w:sz w:val="24"/>
          <w:szCs w:val="24"/>
        </w:rPr>
        <w:t>.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etj.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ndihmë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specializuar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amerikanë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dëshmitarë.</w:t>
      </w:r>
    </w:p>
    <w:p w14:paraId="5D7213F5" w14:textId="7B01042A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106.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Qeveria</w:t>
      </w:r>
      <w:r w:rsidR="006C487F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6C487F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dosjes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dijeni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medias,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</w:t>
      </w:r>
      <w:r w:rsidR="006C487F">
        <w:rPr>
          <w:rFonts w:ascii="Garamond" w:hAnsi="Garamond" w:cs="Times New Roman"/>
          <w:color w:val="000000"/>
          <w:sz w:val="24"/>
          <w:szCs w:val="24"/>
        </w:rPr>
        <w:t>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kushtuar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vëmendje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hetimin.</w:t>
      </w:r>
    </w:p>
    <w:p w14:paraId="7C747345" w14:textId="3A2A3330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b)Vlerësimi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Gjykatës</w:t>
      </w:r>
    </w:p>
    <w:p w14:paraId="1A771308" w14:textId="4519D3E8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</w:t>
      </w:r>
      <w:r w:rsidR="004F2E5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Parime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përgjithshme</w:t>
      </w:r>
    </w:p>
    <w:p w14:paraId="6521E236" w14:textId="7BBEAF22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107.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zbatueshme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përmbledhur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shembull,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Armani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Silva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Mbretërisë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Bashkuar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([GC]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5878/08,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2016)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poshtë:</w:t>
      </w:r>
    </w:p>
    <w:p w14:paraId="5FF01652" w14:textId="1666EE53" w:rsidR="000C73AE" w:rsidRPr="00512CF6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0"/>
          <w:szCs w:val="20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“</w:t>
      </w:r>
      <w:r w:rsidRPr="00512CF6">
        <w:rPr>
          <w:rFonts w:ascii="Garamond" w:hAnsi="Garamond" w:cs="Times New Roman"/>
          <w:color w:val="000000"/>
          <w:sz w:val="20"/>
          <w:szCs w:val="20"/>
        </w:rPr>
        <w:t>229.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Duke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pasur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parasysh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natyrën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tij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themelore,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Konventës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përmban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procedural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–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përshkruhet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poshtë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–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kryer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efektiv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shkeljet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dyshuara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aspektit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tij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material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Ergi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28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korrik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1998,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82,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Raportet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1998</w:t>
      </w:r>
      <w:r w:rsidR="00106D5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IV;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Mastromatteo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Italisë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37703/97,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89,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2002-VIII;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Giuliani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Gaggio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Italisë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23458/02,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298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2011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(ekstrakte)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Mustafa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Fecire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24014/05,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69,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14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prill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2015).</w:t>
      </w:r>
    </w:p>
    <w:p w14:paraId="1895266D" w14:textId="08B079A1" w:rsidR="000C73AE" w:rsidRPr="00512CF6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512CF6">
        <w:rPr>
          <w:rFonts w:ascii="Garamond" w:hAnsi="Garamond" w:cs="Times New Roman"/>
          <w:color w:val="000000"/>
          <w:sz w:val="20"/>
          <w:szCs w:val="20"/>
        </w:rPr>
        <w:t>230.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Ndalimi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përgjithshëm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ligj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vrasjes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arbitrare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punonjësit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ishte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paefektshëm,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praktikë,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ekzistonte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procedurë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shqyrtimin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ligjshmërisë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përdorimit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forcës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vdekjeprurëse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autoritetet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shtetërore.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mbrojtur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drejtën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kësaj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dispozite,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parë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lidhje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detyrën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përgjithshme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466B1E" w:rsidRPr="00512CF6">
        <w:rPr>
          <w:rFonts w:ascii="Garamond" w:hAnsi="Garamond" w:cs="Times New Roman"/>
          <w:color w:val="000000"/>
          <w:sz w:val="20"/>
          <w:szCs w:val="20"/>
        </w:rPr>
        <w:t>shtetit</w:t>
      </w:r>
      <w:r w:rsid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nenit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Konventës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t’i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“siguruar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çdokujt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brenda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juridiksionit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tij]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drejtat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liritë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përcaktuara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[Konventë]”,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kërkon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mënyrë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nënkuptuar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ekzistojë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formë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efektiv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zyrtar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rastet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njerëz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vrarë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rezultat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përdorimit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forcës,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inter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alia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punonjësit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McCann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161).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Prandaj,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466B1E" w:rsidRPr="00512CF6">
        <w:rPr>
          <w:rFonts w:ascii="Garamond" w:hAnsi="Garamond" w:cs="Times New Roman"/>
          <w:color w:val="000000"/>
          <w:sz w:val="20"/>
          <w:szCs w:val="20"/>
        </w:rPr>
        <w:t xml:space="preserve">shteti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sigurojë,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gjitha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mjetet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dispozicion,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përgjigje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–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gjyqësore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tjetër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–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mënyrë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kuadri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ligjor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administrativ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krijuar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mbrojtur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drejtën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jetën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zbatohet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çdo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shkelje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kësaj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drejte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goditet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ndëshkohet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Zavoloka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Letonisë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F2E52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58447/00,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34,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7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korrik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2009,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Giuliani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Gaggio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298).</w:t>
      </w:r>
    </w:p>
    <w:p w14:paraId="2CEFE6E2" w14:textId="07585671" w:rsidR="000C73AE" w:rsidRPr="00512CF6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512CF6">
        <w:rPr>
          <w:rFonts w:ascii="Garamond" w:hAnsi="Garamond" w:cs="Times New Roman"/>
          <w:color w:val="000000"/>
          <w:sz w:val="20"/>
          <w:szCs w:val="20"/>
        </w:rPr>
        <w:t>231.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kryer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efektiv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konsideruar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praktikën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gjyqësore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Gjykatës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natyrshëm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nenin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cili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kërkon,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inter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alia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drejta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jetën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“mbrohet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ligj”.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Megjithëse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mospërmbushja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këtij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ketë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pasoja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drejtën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mbrojtur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nenit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13,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procedural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nenit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shihet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veçantë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İlhan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22277/93,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91</w:t>
      </w:r>
      <w:r w:rsidR="00C8646A" w:rsidRPr="00512CF6">
        <w:rPr>
          <w:rFonts w:ascii="Garamond" w:hAnsi="Garamond" w:cs="Times New Roman"/>
          <w:color w:val="000000"/>
          <w:sz w:val="20"/>
          <w:szCs w:val="20"/>
        </w:rPr>
        <w:t>–</w:t>
      </w:r>
      <w:r w:rsidRPr="00512CF6">
        <w:rPr>
          <w:rFonts w:ascii="Garamond" w:hAnsi="Garamond" w:cs="Times New Roman"/>
          <w:color w:val="000000"/>
          <w:sz w:val="20"/>
          <w:szCs w:val="20"/>
        </w:rPr>
        <w:t>92,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2000-VII;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Öneryıldız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66B1E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48939/99,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148,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2004-XII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Šilih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Sllovenisë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F0424C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71463/01,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153</w:t>
      </w:r>
      <w:r w:rsidR="004F2E52" w:rsidRPr="00512CF6">
        <w:rPr>
          <w:rFonts w:ascii="Garamond" w:hAnsi="Garamond"/>
          <w:i/>
          <w:iCs/>
          <w:sz w:val="20"/>
          <w:szCs w:val="20"/>
        </w:rPr>
        <w:t>–</w:t>
      </w:r>
      <w:r w:rsidRPr="00512CF6">
        <w:rPr>
          <w:rFonts w:ascii="Garamond" w:hAnsi="Garamond" w:cs="Times New Roman"/>
          <w:color w:val="000000"/>
          <w:sz w:val="20"/>
          <w:szCs w:val="20"/>
        </w:rPr>
        <w:t>54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9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prill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2009).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Kjo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çojë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konstatimin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“ndërhyrjeje”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veçantë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pavarur.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Ky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përfundim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rrjedh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fakti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shqyrtuar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vazhdimisht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pyetjen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detyrimeve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procedurale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veçuar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pyetja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përputhshmërisë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material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(dhe,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rastit,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gjetur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shkelje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veçantë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nenit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arsye)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fakti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disa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raste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pretenduar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shkelje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procedural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nenit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ndonjë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ankim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lidhje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aspektin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material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tij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Šilih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158</w:t>
      </w:r>
      <w:r w:rsidR="004F2E52" w:rsidRPr="00512CF6">
        <w:rPr>
          <w:rFonts w:ascii="Garamond" w:hAnsi="Garamond"/>
          <w:i/>
          <w:iCs/>
          <w:sz w:val="20"/>
          <w:szCs w:val="20"/>
        </w:rPr>
        <w:t>–</w:t>
      </w:r>
      <w:r w:rsidRPr="00512CF6">
        <w:rPr>
          <w:rFonts w:ascii="Garamond" w:hAnsi="Garamond" w:cs="Times New Roman"/>
          <w:color w:val="000000"/>
          <w:sz w:val="20"/>
          <w:szCs w:val="20"/>
        </w:rPr>
        <w:t>59).</w:t>
      </w:r>
    </w:p>
    <w:p w14:paraId="0A794A4A" w14:textId="6FCBC2EB" w:rsidR="000C73AE" w:rsidRPr="00512CF6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512CF6">
        <w:rPr>
          <w:rFonts w:ascii="Garamond" w:hAnsi="Garamond" w:cs="Times New Roman"/>
          <w:color w:val="000000"/>
          <w:sz w:val="20"/>
          <w:szCs w:val="20"/>
        </w:rPr>
        <w:t>232.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vrasjet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dyshuara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paligjshme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punonjësit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efektiv,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përgjithësisht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konsiderohet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nevojshme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personat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përgjegjës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kryejnë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jenë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pavarur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personat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implikuar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ngjarje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shembull,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Oğur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</w:t>
      </w:r>
      <w:r w:rsidR="00F0424C">
        <w:rPr>
          <w:rFonts w:ascii="Garamond" w:hAnsi="Garamond" w:cs="Times New Roman"/>
          <w:color w:val="000000"/>
          <w:sz w:val="20"/>
          <w:szCs w:val="20"/>
        </w:rPr>
        <w:t>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21594/93,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91</w:t>
      </w:r>
      <w:r w:rsidR="004F2E52" w:rsidRPr="00512CF6">
        <w:rPr>
          <w:rFonts w:ascii="Garamond" w:hAnsi="Garamond"/>
          <w:i/>
          <w:iCs/>
          <w:sz w:val="20"/>
          <w:szCs w:val="20"/>
        </w:rPr>
        <w:t>–</w:t>
      </w:r>
      <w:r w:rsidRPr="00512CF6">
        <w:rPr>
          <w:rFonts w:ascii="Garamond" w:hAnsi="Garamond" w:cs="Times New Roman"/>
          <w:color w:val="000000"/>
          <w:sz w:val="20"/>
          <w:szCs w:val="20"/>
        </w:rPr>
        <w:t>92,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1999-III,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Giuliani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Gaggio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300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Mustafa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Fecire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177).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Kjo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thotë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vetëm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mos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ketë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lidhje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hierarkike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institucionale,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ketë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pavarësi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praktike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shembull,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Güleç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27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korrik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1998,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81</w:t>
      </w:r>
      <w:r w:rsidR="004F2E52" w:rsidRPr="00512CF6">
        <w:rPr>
          <w:rFonts w:ascii="Garamond" w:hAnsi="Garamond"/>
          <w:i/>
          <w:iCs/>
          <w:sz w:val="20"/>
          <w:szCs w:val="20"/>
        </w:rPr>
        <w:t>–</w:t>
      </w:r>
      <w:r w:rsidRPr="00512CF6">
        <w:rPr>
          <w:rFonts w:ascii="Garamond" w:hAnsi="Garamond" w:cs="Times New Roman"/>
          <w:color w:val="000000"/>
          <w:sz w:val="20"/>
          <w:szCs w:val="20"/>
        </w:rPr>
        <w:t>82,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Raportet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1998-IV;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Giuliani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Gaggio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300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Mustafa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Fecire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177).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Ajo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rrezikohet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këtu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asgjë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besimi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publikut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monopolin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mbi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përdorimin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forcës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lastRenderedPageBreak/>
        <w:t>Hugh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Jordan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Mbretërisë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së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Bashkuar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24746/94,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106,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4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maj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2001;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Ramsahai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Holandës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</w:t>
      </w:r>
      <w:r w:rsidR="004F2E52" w:rsidRPr="00512CF6">
        <w:rPr>
          <w:rFonts w:ascii="Garamond" w:hAnsi="Garamond" w:cs="Times New Roman"/>
          <w:color w:val="000000"/>
          <w:sz w:val="20"/>
          <w:szCs w:val="20"/>
        </w:rPr>
        <w:t>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52391/99,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325,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2007-II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Giuliani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Gaggio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loc.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cit.)</w:t>
      </w:r>
    </w:p>
    <w:p w14:paraId="6A23B8B8" w14:textId="2C135342" w:rsidR="000C73AE" w:rsidRPr="00512CF6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512CF6">
        <w:rPr>
          <w:rFonts w:ascii="Garamond" w:hAnsi="Garamond" w:cs="Times New Roman"/>
          <w:color w:val="000000"/>
          <w:sz w:val="20"/>
          <w:szCs w:val="20"/>
        </w:rPr>
        <w:t>233.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qenë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“efektiv”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kuptuar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kjo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shprehje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kontekstin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nenit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Konventës,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pari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adekuat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Ramsahai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324,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Mustafa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Fecire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sipër,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172).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Kjo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thotë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gjendje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çojë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vërtetimin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fakteve,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përcaktimin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forca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përdorur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ishte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apo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justifikuar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rrethana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identifikojë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-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-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ndëshkojë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përgjegjësit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Giuliani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Gaggio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301,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Mustafa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Fecire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172).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Ky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rezultat,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mjete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Nachova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Bullgarisë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43577/98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43579/98,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160,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2005-VII;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Jaloud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Holandës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F0424C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47708/08,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186,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2014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Mustafa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Fecire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173).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Autoritetet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ndërmarrin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çfarëdo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hapi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arsyeshëm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munden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siguruar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provat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lidhje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ngjarjen,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sidomos,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inter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alia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dëshminë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dëshmitarëve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okularë,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provat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shkencore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vend,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autopsi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cila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jep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dhëna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plota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sakta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plagosjes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analizë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objektive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konstatimeve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klinike,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duke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përfshirë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shkakun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vdekjes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autopsitë,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shihni,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shembull,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Salman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21986/93,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106,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2000-VII;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temën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dëshmitarëve,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shihni,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shembull,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Tanrıkulu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[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GC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]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23763/94,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109,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1999-IV;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ekzaminimet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shkencore,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shembull,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Gül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v.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Turkey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22676/93,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89,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14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dhjetor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2000).).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Gjithashtu,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aty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pasur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përdorim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forcës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punonjës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Shtetit,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gjithashtu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efektiv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kuptimin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çojë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vendimin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forca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përdorur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ishte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apo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justifikuar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ato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rrethana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shembull,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Kaya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Turqisë,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19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shkurt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1998,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87,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Raportet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1998-I).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Çdo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minon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aftësinë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tij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përcaktuar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shkakun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vdekjes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personin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përgjegjës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rrezikojë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bjerë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kundërshtim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standard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Avşar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25657/94,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393</w:t>
      </w:r>
      <w:r w:rsidR="004F2E52" w:rsidRPr="00512CF6">
        <w:rPr>
          <w:rFonts w:ascii="Garamond" w:hAnsi="Garamond"/>
          <w:i/>
          <w:iCs/>
          <w:sz w:val="20"/>
          <w:szCs w:val="20"/>
        </w:rPr>
        <w:t>–</w:t>
      </w:r>
      <w:r w:rsidRPr="00512CF6">
        <w:rPr>
          <w:rFonts w:ascii="Garamond" w:hAnsi="Garamond" w:cs="Times New Roman"/>
          <w:color w:val="000000"/>
          <w:sz w:val="20"/>
          <w:szCs w:val="20"/>
        </w:rPr>
        <w:t>95,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2001-VII);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Giuliani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Gaggio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301;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Mustafa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Fecire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174).</w:t>
      </w:r>
    </w:p>
    <w:p w14:paraId="777261C0" w14:textId="1B5820FC" w:rsidR="000C73AE" w:rsidRPr="00512CF6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512CF6">
        <w:rPr>
          <w:rFonts w:ascii="Garamond" w:hAnsi="Garamond" w:cs="Times New Roman"/>
          <w:color w:val="000000"/>
          <w:sz w:val="20"/>
          <w:szCs w:val="20"/>
        </w:rPr>
        <w:t>234.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veçanti,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përfundimet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bazohen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analizë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plotë,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objektive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paanshme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gjithë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elementëve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përkatës.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Mosndjekja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linje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qartë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minon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masë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vendimtare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aftësinë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përcaktuar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rrethanat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çështjes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identitetin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atyre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janë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përgjegjës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Kolevi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Bullgarisë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1108/02,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201,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5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nëntor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2009,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Mustafa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Fecire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175).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Megjithatë,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natyra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shkalla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detajuar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arrin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kufirin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minimal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efektivitetit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varet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rrethanat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çështjes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veçantë.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Natyra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shkalla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detajuar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vlerësohet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bazë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gjitha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fakteve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përkatëse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lidhje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realitetet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praktike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punës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hetimore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Velcea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Mazăre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Rumanisë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64301/01,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105,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dhjetor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2009,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Mustafa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Fecire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175).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duart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punonjësi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shkaktohet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vdekje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dyshimtë,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autoritetet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vendase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përkatëse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hetojnë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mënyrë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veçanërisht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rreptë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Enukidze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Girgvliani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277).</w:t>
      </w:r>
    </w:p>
    <w:p w14:paraId="7A1D0D10" w14:textId="33F9A339" w:rsidR="000C73AE" w:rsidRPr="00512CF6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512CF6">
        <w:rPr>
          <w:rFonts w:ascii="Garamond" w:hAnsi="Garamond" w:cs="Times New Roman"/>
          <w:color w:val="000000"/>
          <w:sz w:val="20"/>
          <w:szCs w:val="20"/>
        </w:rPr>
        <w:t>235.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Përveç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kësaj,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familja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viktimës,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aq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nevojshme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mbrojtur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interesat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legjitime,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informohet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hetimin.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ketë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gjithashtu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element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mjaftueshëm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kontrollit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publiku,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shkalla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cilit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ndryshojë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rasti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rasti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Hugh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Jordan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109;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Giuliani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Gaggio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303;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Mustafa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Fecire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Tunç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179;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gjithashtu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Güleç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82,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babai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viktimës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ishte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informuar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vendimin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mosfillim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ndjekjes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penale,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Oğur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92,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familja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viktimës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kishte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akses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dokumentacionin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hetimor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gjyqësor).</w:t>
      </w:r>
    </w:p>
    <w:p w14:paraId="478B2B01" w14:textId="1EF6251D" w:rsidR="000C73AE" w:rsidRPr="00512CF6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512CF6">
        <w:rPr>
          <w:rFonts w:ascii="Garamond" w:hAnsi="Garamond" w:cs="Times New Roman"/>
          <w:color w:val="000000"/>
          <w:sz w:val="20"/>
          <w:szCs w:val="20"/>
        </w:rPr>
        <w:t>236.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Megjithatë,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nxjerrja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publikimi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raporteve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policore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materialit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hetimor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përfshijë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çështje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sensitive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efekte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mundshme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paragjykuese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ndaj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personave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privatë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tjera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arsye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konsiderohet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kërkesë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automatike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nenit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Prandaj,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aksesi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nevojshëm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publikut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afërmve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viktimës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parashikohet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faza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tjera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procedurës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autoriteteve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tjera,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McKerr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Mbretërisë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së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Bashkuar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28883/95,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129,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2001-III,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Giuliani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Gaggio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304).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Gjithashtu,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detyron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autoritetet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hetimore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përmbushin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çdo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kërkesë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masë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veçantë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hetimore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bërë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afërm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gjatë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Velcea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Mazăre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113,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Ramsahai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sipër,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348).</w:t>
      </w:r>
    </w:p>
    <w:p w14:paraId="40FD9982" w14:textId="63FA7A89" w:rsidR="000C73AE" w:rsidRPr="00512CF6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512CF6">
        <w:rPr>
          <w:rFonts w:ascii="Garamond" w:hAnsi="Garamond" w:cs="Times New Roman"/>
          <w:color w:val="000000"/>
          <w:sz w:val="20"/>
          <w:szCs w:val="20"/>
        </w:rPr>
        <w:t>237.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Kërkesa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vepruar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shpejt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kujdes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arsyeshëm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nënkuptuar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kontekst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Yaşa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shtator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1998,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102</w:t>
      </w:r>
      <w:r w:rsidR="00F0424C">
        <w:rPr>
          <w:rFonts w:ascii="Garamond" w:hAnsi="Garamond" w:cs="Times New Roman"/>
          <w:color w:val="000000"/>
          <w:sz w:val="20"/>
          <w:szCs w:val="20"/>
        </w:rPr>
        <w:t>–</w:t>
      </w:r>
      <w:r w:rsidRPr="00512CF6">
        <w:rPr>
          <w:rFonts w:ascii="Garamond" w:hAnsi="Garamond" w:cs="Times New Roman"/>
          <w:color w:val="000000"/>
          <w:sz w:val="20"/>
          <w:szCs w:val="20"/>
        </w:rPr>
        <w:t>04,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Raportet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1998-VI,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Kaya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106-07).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pranuar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ketë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pengesa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vështirësi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pengojnë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ecurinë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situatë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caktuar.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Megjithatë,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përgjigje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menjëhershme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autoritetet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hetimin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përdorimit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forcës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vdekjeprurëse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konsiderohet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përgjithësisht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thelbësore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ruajtjen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besimit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publikut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respektimi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drejtës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ana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parandalimin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çdo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shfaqjeje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bashkëpunimit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tolerimit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akteve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paligjshme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McKerr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111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114,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Opuz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nr.</w:t>
      </w:r>
      <w:r w:rsidR="006271B8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33401/02,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150,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2009).</w:t>
      </w:r>
    </w:p>
    <w:p w14:paraId="5BF6E964" w14:textId="44E5C58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512CF6">
        <w:rPr>
          <w:rFonts w:ascii="Garamond" w:hAnsi="Garamond" w:cs="Times New Roman"/>
          <w:color w:val="000000"/>
          <w:sz w:val="20"/>
          <w:szCs w:val="20"/>
        </w:rPr>
        <w:t>238.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sipër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nxirret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përfundimi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përfshijë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drejtën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palët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treta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ndiqen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penalisht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dënohen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penale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Mastromatteo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90;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Šilih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194;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Giuliani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Gaggio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306)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detyrim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absolut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gjitha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ndjekjet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penale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rezultojnë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dënim,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fakt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vendim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dënimi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veçantë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i/>
          <w:iCs/>
          <w:color w:val="000000"/>
          <w:sz w:val="20"/>
          <w:szCs w:val="20"/>
        </w:rPr>
        <w:t>Zavoloka</w:t>
      </w:r>
      <w:r w:rsidRPr="00512CF6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C74102" w:rsidRPr="00512CF6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34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(c)).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fakt,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t’u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japë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rëndësinë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duhur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gjykatave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kombëtare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zgjedhjen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sanksioneve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përshtatshme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vrasje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agjentët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shtetit.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(...)”</w:t>
      </w:r>
      <w:r w:rsidR="004328D9" w:rsidRPr="00512CF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512CF6">
        <w:rPr>
          <w:rFonts w:ascii="Garamond" w:hAnsi="Garamond" w:cs="Times New Roman"/>
          <w:color w:val="000000"/>
          <w:sz w:val="20"/>
          <w:szCs w:val="20"/>
        </w:rPr>
        <w:t>(...)”</w:t>
      </w:r>
      <w:r w:rsidR="00512CF6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2A648103" w14:textId="337FF74E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A95331">
        <w:rPr>
          <w:rFonts w:ascii="Garamond" w:hAnsi="Garamond" w:cs="Times New Roman"/>
          <w:i/>
          <w:iCs/>
          <w:color w:val="000000"/>
          <w:sz w:val="24"/>
          <w:szCs w:val="24"/>
        </w:rPr>
        <w:t>ii</w:t>
      </w:r>
      <w:r w:rsidR="004F2E52" w:rsidRPr="00A95331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A95331">
        <w:rPr>
          <w:rFonts w:ascii="Garamond" w:hAnsi="Garamond" w:cs="Times New Roman"/>
          <w:i/>
          <w:iCs/>
          <w:color w:val="000000"/>
          <w:sz w:val="24"/>
          <w:szCs w:val="24"/>
        </w:rPr>
        <w:t>Kërkesa</w:t>
      </w:r>
      <w:r w:rsidR="004328D9" w:rsidRPr="00A95331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A95331">
        <w:rPr>
          <w:rFonts w:ascii="Garamond" w:hAnsi="Garamond" w:cs="Times New Roman"/>
          <w:i/>
          <w:iCs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fjalë</w:t>
      </w:r>
    </w:p>
    <w:p w14:paraId="6CB62834" w14:textId="732BBEE1" w:rsidR="000C73AE" w:rsidRPr="000D299E" w:rsidRDefault="00A04DDE" w:rsidP="000C73AE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B07F00">
        <w:rPr>
          <w:rFonts w:ascii="Garamond" w:hAnsi="Garamond" w:cs="Times New Roman"/>
          <w:color w:val="000000"/>
          <w:sz w:val="24"/>
          <w:szCs w:val="24"/>
        </w:rPr>
        <w:lastRenderedPageBreak/>
        <w:t>α</w:t>
      </w:r>
      <w:r w:rsidR="000C73AE" w:rsidRPr="00B07F00">
        <w:rPr>
          <w:rFonts w:ascii="Garamond" w:hAnsi="Garamond" w:cs="Times New Roman"/>
          <w:color w:val="000000"/>
          <w:sz w:val="24"/>
          <w:szCs w:val="24"/>
        </w:rPr>
        <w:t>)</w:t>
      </w:r>
      <w:r w:rsidR="00A044F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Mangësitë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fazat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penal</w:t>
      </w:r>
    </w:p>
    <w:p w14:paraId="2331441C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108.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reagimi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menjëhershëm: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pikërisht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mbledhjen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zonën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sipër).</w:t>
      </w:r>
    </w:p>
    <w:p w14:paraId="340EAB55" w14:textId="1B3BD208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109.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publike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nxituara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A9533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nëpunës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lartë</w:t>
      </w:r>
      <w:r w:rsidR="00A9533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distancë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afërt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17</w:t>
      </w:r>
      <w:r w:rsidR="004F2E52">
        <w:rPr>
          <w:rFonts w:ascii="Garamond" w:hAnsi="Garamond" w:cs="Times New Roman"/>
          <w:color w:val="000000"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18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ngrenë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ekzekutive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përkushtuara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zbardhur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plotësisht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devijuar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ndërhyrë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papërshtatshme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Dimitrov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Bullgarisë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77938/11,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148,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2014).</w:t>
      </w:r>
    </w:p>
    <w:p w14:paraId="31CFA875" w14:textId="60F544D6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110.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kritikat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ashpra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atëhershëm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lartpërmendura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28</w:t>
      </w:r>
      <w:r w:rsidR="00A95331">
        <w:rPr>
          <w:rFonts w:ascii="Garamond" w:hAnsi="Garamond" w:cs="Times New Roman"/>
          <w:color w:val="000000"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29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vërejtën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94</w:t>
      </w:r>
      <w:r w:rsidR="00C74102">
        <w:rPr>
          <w:rFonts w:ascii="Garamond" w:hAnsi="Garamond" w:cs="Times New Roman"/>
          <w:color w:val="000000"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96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tepër,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rëndësishme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menjëherë,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paralelisht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</w:t>
      </w:r>
      <w:r w:rsidR="00A9533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krijua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parlamentar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sqarimit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Giuliani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Gaggio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Italisë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GC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</w:t>
      </w:r>
      <w:r w:rsidR="00A95331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23458/02,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310,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GJEDNJ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(ekstrakte)),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abuzimet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thirr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nënshtrua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kritikave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ashpra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publike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anëtarët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kontekstin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ndikim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negativ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efektivitetin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inkurajuar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dëshmitarët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bashkëpunonin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proces.</w:t>
      </w:r>
    </w:p>
    <w:p w14:paraId="067E5C69" w14:textId="3C5EADF8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111.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nxorën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urdhërndalime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dyshuarit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urdhërndalime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ekzekutuan,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probleme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94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dyshuarit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arrestuan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dorëzoheshin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tetëmbëdhjetë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vonë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materiali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dosjes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japin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shpjegim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bashkëpunuan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adresuar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zgjidhur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ekzekutuar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menjëherë.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Mosmarrëveshjet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agjencive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pengojnë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përmbushin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kujdes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shpejtësi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trajtimin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serioze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Askhabova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Rusisë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54765/09,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153,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prill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2013).</w:t>
      </w:r>
    </w:p>
    <w:p w14:paraId="38ABDBB2" w14:textId="0AF88285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112.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Mosekzekutimi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ndalimit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tetëmbëdhjetë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ndërmjet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lëshuan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urdhërndalimet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merrnin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dyshuarit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Akoma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rëndësishëm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përveç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çmuar,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pakthyeshme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dyshuarit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menjëherë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minimizuar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marrëveshje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fshehtë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shtrembërim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Jaloud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Holandës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[GC]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47708/08,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C2226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207,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GJEDNJ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2014).</w:t>
      </w:r>
    </w:p>
    <w:p w14:paraId="3418144E" w14:textId="1AEB49B9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113.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fund,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anashkalojë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shpejtësisë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kujdesit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videoregjistrimet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posedim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sekuestruar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menjëherë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</w:p>
    <w:p w14:paraId="1ACFC99B" w14:textId="45EB44DF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114.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Akoma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videoregjistrimeve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menjëherë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shqetësime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serioze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fshirja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dashje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fshehur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hodhën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brendshme,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gjendje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sakta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identitetin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personit(ave)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fshirjen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supozohej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ruajtje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personelit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Përveç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fshirja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atribuohet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paditur,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ruajtën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dhomën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serverëve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ruajtjen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vendase,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mbanin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paprekura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ndërhyrje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Lovpyginy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Ukrainës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22323/08,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qershor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hetuesi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videoregjistrimin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faktorët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kontribuoi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efektivitetit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fjalë).</w:t>
      </w:r>
    </w:p>
    <w:p w14:paraId="30760DE9" w14:textId="51CF8388" w:rsidR="000C73AE" w:rsidRPr="000D299E" w:rsidRDefault="00A04DDE" w:rsidP="000C73AE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2C534F">
        <w:rPr>
          <w:rFonts w:ascii="Garamond" w:hAnsi="Garamond" w:cs="Times New Roman"/>
          <w:color w:val="000000"/>
          <w:sz w:val="24"/>
          <w:szCs w:val="24"/>
        </w:rPr>
        <w:t>β</w:t>
      </w:r>
      <w:r w:rsidR="000C73AE" w:rsidRPr="002C534F">
        <w:rPr>
          <w:rFonts w:ascii="Garamond" w:hAnsi="Garamond" w:cs="Times New Roman"/>
          <w:color w:val="000000"/>
          <w:sz w:val="24"/>
          <w:szCs w:val="24"/>
        </w:rPr>
        <w:t>)</w:t>
      </w:r>
      <w:r w:rsidR="00626A98" w:rsidRPr="002C534F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Moshetimi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duhur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përgjegjësisë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mundshme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mënyrën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kthesë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komandantëve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terren</w:t>
      </w:r>
    </w:p>
    <w:p w14:paraId="3C006BE0" w14:textId="1D51CD54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115.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materialit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disponon,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përqendruar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ekskluzivisht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drejtpërdrejt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626A9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626A98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mosveprimet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626A98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626A98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kontribuar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626A9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</w:p>
    <w:p w14:paraId="77374E1B" w14:textId="663EC131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116.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njëpasnjëshme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pajtohen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versionin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individualisht;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argumentuan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sugjerohej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fuqishëm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drejtpërdrejt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140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ngrenë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hetimit.</w:t>
      </w:r>
    </w:p>
    <w:p w14:paraId="1FBC6AEE" w14:textId="59B6BC66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117.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kronologjinë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saktë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F2E52">
        <w:rPr>
          <w:rFonts w:ascii="Garamond" w:hAnsi="Garamond" w:cs="Times New Roman"/>
          <w:color w:val="000000"/>
          <w:sz w:val="24"/>
          <w:szCs w:val="24"/>
        </w:rPr>
        <w:t>: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F2E52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momentit(eve)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media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kalimtarë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ii</w:t>
      </w:r>
      <w:r w:rsidR="004F2E52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pësuara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element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rëndësishëm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rrjedhës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natyrës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saktë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Apelit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pothuajse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njëjtën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ngritur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frenuar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</w:p>
    <w:p w14:paraId="1A5EEF86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118.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rrjedhën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terren,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komunikim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radio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njëri-tjetrin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kritike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konfrontimit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dhunshëm.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version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besueshëm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armatosur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centralizuar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specializuar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përballë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armiqësore;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kundërshtim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udhëzimet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angazhimit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njësive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përgatitje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poshtë).</w:t>
      </w:r>
    </w:p>
    <w:p w14:paraId="4717B0F6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119.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treti,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pavarësisht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natyra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argumentuar,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nivel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pohuan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vrasjet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transmetuar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televizion;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mohuan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tillë,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pohuar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frenimi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Apelit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shpallur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penalisht,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rastësore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rikoshet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goditeshin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viktimat.</w:t>
      </w:r>
    </w:p>
    <w:p w14:paraId="72EC9991" w14:textId="3ECA5816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120.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takon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zgjidhë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mosmarrëveshje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përveçse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ekzistojnë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treguesish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përfshijnë: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përmend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tashmë,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rindërtimi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kronologjisë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saktë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vendndodhjet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qëndronin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qëlluan;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mosanalizimi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sistematik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karakteristikave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mjeko-ligjore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pësuan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lëndime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(sidomos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këndin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trajektoren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predhave),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plotësuar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jetën;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mosmarrja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parasysh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numrit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madh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gjurmëve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predha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nivelin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njeriut,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metalik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hyrëse,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konfrontimit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).</w:t>
      </w:r>
    </w:p>
    <w:p w14:paraId="79CC4576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121.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mangësi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mjaftueshme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ndiqnin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seriozisht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adekuate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linja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kyçe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zinxhirin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drejtpërdrejt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shënjestër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personelit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armatosur.</w:t>
      </w:r>
    </w:p>
    <w:p w14:paraId="2C91AE63" w14:textId="745266FB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122.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vendase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ndërmor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çfarëdo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lloji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planifikimin,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koordinimin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shtetëror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mbështet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publik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tillë.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koordinimit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midis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7716B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panoramë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luajtur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rol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fatale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716B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Giuliani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Gaggio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107</w:t>
      </w:r>
      <w:r w:rsidR="004F2E52">
        <w:rPr>
          <w:rFonts w:ascii="Garamond" w:hAnsi="Garamond"/>
          <w:i/>
          <w:iCs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120,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hollësishëm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parlamentar).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nxjerrë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ndihmonin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parandalimin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ardhmen.</w:t>
      </w:r>
    </w:p>
    <w:p w14:paraId="6BDBE2CE" w14:textId="6692EC28" w:rsidR="000C73AE" w:rsidRPr="000D299E" w:rsidRDefault="00411520" w:rsidP="000C73AE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D81630">
        <w:rPr>
          <w:rFonts w:ascii="Garamond" w:hAnsi="Garamond" w:cs="Times New Roman"/>
          <w:color w:val="000000"/>
          <w:sz w:val="24"/>
          <w:szCs w:val="24"/>
        </w:rPr>
        <w:t>γ</w:t>
      </w:r>
      <w:r w:rsidR="000C73AE" w:rsidRPr="00D81630">
        <w:rPr>
          <w:rFonts w:ascii="Garamond" w:hAnsi="Garamond" w:cs="Times New Roman"/>
          <w:color w:val="000000"/>
          <w:sz w:val="24"/>
          <w:szCs w:val="24"/>
        </w:rPr>
        <w:t>)</w:t>
      </w:r>
      <w:r w:rsidR="00C12395" w:rsidRPr="00D8163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Mangësitë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specifike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716B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N.</w:t>
      </w:r>
    </w:p>
    <w:p w14:paraId="6D98E6AE" w14:textId="38204B3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123.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fazën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përqendrua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ekskluzivisht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716B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saktë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sidomos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tjera.</w:t>
      </w:r>
    </w:p>
    <w:p w14:paraId="1DD68624" w14:textId="36CF2632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124.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mjeko-ligjor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716B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qeveria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716B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jepte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dosjes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letërporosisë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dërguar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sqarohej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çfarë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ekzaminimesh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716B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qeveria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prodhuara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drejtim.</w:t>
      </w:r>
    </w:p>
    <w:p w14:paraId="49E4E054" w14:textId="5530B620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125.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mbështet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mëparshme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(domethënë,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mjekësore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datojnë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716B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fillimisht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Spitalin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Traumës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hartuar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nxjerrë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</w:t>
      </w:r>
      <w:r w:rsidR="007716B1">
        <w:rPr>
          <w:rFonts w:ascii="Garamond" w:hAnsi="Garamond" w:cs="Times New Roman"/>
          <w:color w:val="000000"/>
          <w:sz w:val="24"/>
          <w:szCs w:val="24"/>
        </w:rPr>
        <w:t>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716B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përgatitur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largon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dyshimet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ngritura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ekspertiza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trupin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raporte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mëparshme.</w:t>
      </w:r>
    </w:p>
    <w:p w14:paraId="6C7EDAC4" w14:textId="34A226E2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126.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pikë,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pajtohet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Komisionerit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Këshillit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51930" w:rsidRPr="000D299E">
        <w:rPr>
          <w:rFonts w:ascii="Garamond" w:hAnsi="Garamond" w:cs="Times New Roman"/>
          <w:color w:val="000000"/>
          <w:sz w:val="24"/>
          <w:szCs w:val="24"/>
        </w:rPr>
        <w:t>Evropës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vendase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përballur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vështirë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delikate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94</w:t>
      </w:r>
      <w:r w:rsidR="004F2E52">
        <w:rPr>
          <w:rFonts w:ascii="Garamond" w:hAnsi="Garamond" w:cs="Times New Roman"/>
          <w:color w:val="000000"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96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vendase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përpjekje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konsiderueshme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716B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</w:t>
      </w:r>
      <w:r w:rsidR="007716B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ekzaminime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balistike;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predhës.</w:t>
      </w:r>
    </w:p>
    <w:p w14:paraId="599B92C1" w14:textId="298B1131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127.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letrat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dërguar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prokurorëve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kopje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dosjes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mbështetje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mbajtur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Shkresa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mjafton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justifikuar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interesat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legjitime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Tsintsabadze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Gjeorgjisë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35403/06,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Aliyeva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Aliyev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Azerbajxhanit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35587/08,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saqë,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theksua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sot.</w:t>
      </w:r>
    </w:p>
    <w:p w14:paraId="4059D233" w14:textId="3A000479" w:rsidR="000C73AE" w:rsidRPr="000D299E" w:rsidRDefault="00751930" w:rsidP="000C73AE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1D361A">
        <w:rPr>
          <w:rFonts w:ascii="Garamond" w:hAnsi="Garamond" w:cs="Times New Roman"/>
          <w:color w:val="000000"/>
          <w:sz w:val="24"/>
          <w:szCs w:val="24"/>
        </w:rPr>
        <w:t>δ</w:t>
      </w:r>
      <w:r w:rsidR="000C73AE" w:rsidRPr="001D361A">
        <w:rPr>
          <w:rFonts w:ascii="Garamond" w:hAnsi="Garamond" w:cs="Times New Roman"/>
          <w:color w:val="000000"/>
          <w:sz w:val="24"/>
          <w:szCs w:val="24"/>
        </w:rPr>
        <w:t>)</w:t>
      </w:r>
      <w:r w:rsidR="00445AD3" w:rsidRPr="001D361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1D361A">
        <w:rPr>
          <w:rFonts w:ascii="Garamond" w:hAnsi="Garamond" w:cs="Times New Roman"/>
          <w:color w:val="000000"/>
          <w:sz w:val="24"/>
          <w:szCs w:val="24"/>
        </w:rPr>
        <w:t>Konkluzion</w:t>
      </w:r>
    </w:p>
    <w:p w14:paraId="50E1D16F" w14:textId="40E89A7B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128.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lartpërmendura,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ndëshkimin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mutatis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mutandis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El</w:t>
      </w:r>
      <w:r w:rsidR="00106D59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Masri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ish-Republikës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Jugosllave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Maqedonisë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[GC]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39630/09,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191</w:t>
      </w:r>
      <w:r w:rsidR="004F2E52">
        <w:rPr>
          <w:rFonts w:ascii="Garamond" w:hAnsi="Garamond"/>
          <w:i/>
          <w:iCs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GJEDNJ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Shoqata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“21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dhjetori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1989”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Rumanisë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33810/07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18817/08,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144,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2011).</w:t>
      </w:r>
    </w:p>
    <w:p w14:paraId="022C602D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129.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Prandaj,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kundërshtimi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paraprak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rrëzohet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procedural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tij.</w:t>
      </w:r>
    </w:p>
    <w:p w14:paraId="7B725172" w14:textId="2D4BF16E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B.</w:t>
      </w:r>
      <w:r w:rsidR="004F2E52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Aspekti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material</w:t>
      </w:r>
    </w:p>
    <w:p w14:paraId="6BAB7DF9" w14:textId="0FB664A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1.</w:t>
      </w:r>
      <w:r w:rsidR="00751930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Pranueshmëria</w:t>
      </w:r>
    </w:p>
    <w:p w14:paraId="2D0C9818" w14:textId="63400C0B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a)</w:t>
      </w:r>
      <w:r w:rsidR="00751930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Parashtrimet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palëve</w:t>
      </w:r>
    </w:p>
    <w:p w14:paraId="57339414" w14:textId="75E71E52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</w:t>
      </w:r>
      <w:r w:rsidR="004F2E5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Qeveria</w:t>
      </w:r>
    </w:p>
    <w:p w14:paraId="70C4A86B" w14:textId="2D0D9D42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130.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vuri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material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vendase,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qeveria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joproporcionale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papranueshëm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statusit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viktimës.</w:t>
      </w:r>
    </w:p>
    <w:p w14:paraId="437DF2F4" w14:textId="3E832F3E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ii</w:t>
      </w:r>
      <w:r w:rsidR="004F2E5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Kërkueset</w:t>
      </w:r>
    </w:p>
    <w:p w14:paraId="51DE4BA3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131.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komente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drejtim.</w:t>
      </w:r>
    </w:p>
    <w:p w14:paraId="5808939D" w14:textId="49B83650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iii</w:t>
      </w:r>
      <w:r w:rsidR="004F2E5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Pala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tretë</w:t>
      </w:r>
    </w:p>
    <w:p w14:paraId="5C13E159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132.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Publica,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organizatë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joqeveritare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promovon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respektimin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njeriut,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argumentoi,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juridike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kontekstin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përjashtim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juridike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argumentin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gabimi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pakujdesisë.</w:t>
      </w:r>
    </w:p>
    <w:p w14:paraId="01B90215" w14:textId="367B2E9C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b)</w:t>
      </w:r>
      <w:r w:rsidR="00445AD3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Vlerësimi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Gjykatës</w:t>
      </w:r>
    </w:p>
    <w:p w14:paraId="31917E93" w14:textId="6108A978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133.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statusin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shtetërore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afërmit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ngushtë,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45AD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45AD3">
        <w:rPr>
          <w:rFonts w:ascii="Garamond" w:hAnsi="Garamond" w:cs="Times New Roman"/>
          <w:color w:val="000000"/>
          <w:sz w:val="24"/>
          <w:szCs w:val="24"/>
        </w:rPr>
        <w:t>.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secilit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12,834,097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lekë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(përafërsisht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103,524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euro)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jopasuror.</w:t>
      </w:r>
    </w:p>
    <w:p w14:paraId="35B1A7EB" w14:textId="735EED9F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134.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pagesës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material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paligjshëm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thjesht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mosveprim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pakujdesi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procedurat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civile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synojnë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dhënien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ndëshkimi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juridike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adekuate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korrigjim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material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inter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alia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Mocanu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Rumanisë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[GC]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10865/09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227,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GJEDNJ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(ekstrakte)).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ndodh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sepse,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gjendje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kufizonin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reagimin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incidenteve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paligjshëm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thjesht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dhënien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mjaftueshëm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ndjekjen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ndëshkimin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abuzonin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pandëshkueshmëri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virtuale,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ndalimet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vrasjen,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torturën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trajtimin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çnjerëzor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poshtërues,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pavarësisht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themelore,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praktikisht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joefektive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Nikolova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Velichkova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Bullgarisë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45AD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7888/03,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55,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dhjetor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2007,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Mundësia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paligjshëm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Rruga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korrigjimit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ndëshkimin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234;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Kelly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Mbretërisë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Bashkuar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30054/96,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Nikolova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Velichkova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57).</w:t>
      </w:r>
    </w:p>
    <w:p w14:paraId="7B83BD08" w14:textId="31BA44B9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135.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qeveria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ushtrua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joproporcionale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...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Republikës”,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45AD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vrasjes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dashje.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aksidenti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dashje,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hipoteza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vrasjes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paligjshme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diskutueshme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faktet,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plotëson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pragun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minimal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efektivitetit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zbardhur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hipotezën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aksidenti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ndikim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synon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posaçërisht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hedhë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konfirmojë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hipotezë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Mustafa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Tunç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Fecire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Tunç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133).</w:t>
      </w:r>
    </w:p>
    <w:p w14:paraId="07F7D3DF" w14:textId="600A266E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136.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konkret,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45AD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45AD3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mjaft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Shpjegime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qartazi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pamundur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fazat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fillestare.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shteti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plotë.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shtetërore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45AD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45AD3">
        <w:rPr>
          <w:rFonts w:ascii="Garamond" w:hAnsi="Garamond" w:cs="Times New Roman"/>
          <w:color w:val="000000"/>
          <w:sz w:val="24"/>
          <w:szCs w:val="24"/>
        </w:rPr>
        <w:t>.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sqaroi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45AD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45AD3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kuptueshme,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justifikuar.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Përkundrazi,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konkludoi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menjëherë,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shteti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445AD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445AD3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legjislacionin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shqiptar,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F2E52" w:rsidRPr="000D299E">
        <w:rPr>
          <w:rFonts w:ascii="Garamond" w:hAnsi="Garamond" w:cs="Times New Roman"/>
          <w:color w:val="000000"/>
          <w:sz w:val="24"/>
          <w:szCs w:val="24"/>
        </w:rPr>
        <w:t>Evropiane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Njeriut,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sepse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parandaluar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ndjerit”,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specifikuar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parandaluese.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qasje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tillë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kompensojë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konkluzionin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128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</w:p>
    <w:p w14:paraId="4987BE25" w14:textId="4079ED2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137.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rrjedh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zhveshë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ndëshkimin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bëheshin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imagjinare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statusi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thjesht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dhënien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dëmshpërblimit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Nikolova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Velichkova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55,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</w:p>
    <w:p w14:paraId="77966AC1" w14:textId="4B5FC671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138.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pranueshmërinë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material</w:t>
      </w:r>
      <w:r w:rsidR="00445AD3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45AD3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procedurale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dispozicion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shembull,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lastRenderedPageBreak/>
        <w:t>Kopylov</w:t>
      </w:r>
      <w:r w:rsidR="004328D9" w:rsidRPr="000D299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Rusisë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3933/04,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121,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29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korrik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2010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Nikolova</w:t>
      </w:r>
      <w:r w:rsidR="004328D9" w:rsidRPr="000D299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Velichkova</w:t>
      </w:r>
      <w:r w:rsidRPr="000D299E">
        <w:rPr>
          <w:rFonts w:ascii="Garamond" w:hAnsi="Garamond" w:cs="Times New Roman"/>
          <w:sz w:val="24"/>
          <w:szCs w:val="24"/>
        </w:rPr>
        <w:t>,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§§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55</w:t>
      </w:r>
      <w:r w:rsidR="004F2E52">
        <w:rPr>
          <w:rFonts w:ascii="Garamond" w:hAnsi="Garamond"/>
          <w:i/>
          <w:iCs/>
          <w:sz w:val="24"/>
          <w:szCs w:val="24"/>
        </w:rPr>
        <w:t>–</w:t>
      </w:r>
      <w:r w:rsidRPr="000D299E">
        <w:rPr>
          <w:rFonts w:ascii="Garamond" w:hAnsi="Garamond" w:cs="Times New Roman"/>
          <w:sz w:val="24"/>
          <w:szCs w:val="24"/>
        </w:rPr>
        <w:t>56;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Gäfgen</w:t>
      </w:r>
      <w:r w:rsidR="004328D9" w:rsidRPr="000D299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Gjermanisë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[GC]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nr.</w:t>
      </w:r>
      <w:r w:rsidR="00751930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22978/05,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119,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GJEDNJ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2010;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Darra</w:t>
      </w:r>
      <w:r w:rsidR="004328D9" w:rsidRPr="000D299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Francës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53,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4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nëntor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2010).</w:t>
      </w:r>
    </w:p>
    <w:p w14:paraId="608A5BBB" w14:textId="33E2A58E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sz w:val="24"/>
          <w:szCs w:val="24"/>
        </w:rPr>
        <w:t>139.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i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çështjes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fjalë,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konstaton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hetimi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e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vdekjes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A.</w:t>
      </w:r>
      <w:r w:rsidR="00445AD3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N</w:t>
      </w:r>
      <w:r w:rsidR="00445AD3">
        <w:rPr>
          <w:rFonts w:ascii="Garamond" w:hAnsi="Garamond" w:cs="Times New Roman"/>
          <w:sz w:val="24"/>
          <w:szCs w:val="24"/>
        </w:rPr>
        <w:t>.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i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mangët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aspekte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shtetërore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përmbushur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detyrimet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e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procedurale</w:t>
      </w:r>
      <w:r w:rsidR="00445AD3">
        <w:rPr>
          <w:rFonts w:ascii="Garamond" w:hAnsi="Garamond" w:cs="Times New Roman"/>
          <w:sz w:val="24"/>
          <w:szCs w:val="24"/>
        </w:rPr>
        <w:t>,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2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Konventës.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Prandaj,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rrëzon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kundërshtimet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pranueshmërinë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ankimi.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ankimi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haptazi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pabazuar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kuptimit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74102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tej</w:t>
      </w:r>
      <w:r w:rsidR="00445AD3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papranueshëm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Prandaj,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shpallet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pranueshëm.</w:t>
      </w:r>
    </w:p>
    <w:p w14:paraId="36EE0B3F" w14:textId="18F6029E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2.</w:t>
      </w:r>
      <w:r w:rsidR="00445AD3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Themeli</w:t>
      </w:r>
    </w:p>
    <w:p w14:paraId="65324275" w14:textId="447863FC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a)</w:t>
      </w:r>
      <w:r w:rsidR="00751930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Parashtrimet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palëve</w:t>
      </w:r>
    </w:p>
    <w:p w14:paraId="542C62C9" w14:textId="01819595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</w:t>
      </w:r>
      <w:r w:rsidR="004F2E5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Kërkueset</w:t>
      </w:r>
    </w:p>
    <w:p w14:paraId="45D6A285" w14:textId="2A59AEA4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komandanti</w:t>
      </w:r>
      <w:r w:rsidR="00106D5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njerëzit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A.N)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njëjtën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regjistruar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kamerat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transmetuar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stacionet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televizive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lokale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gjithë.</w:t>
      </w:r>
    </w:p>
    <w:p w14:paraId="56259890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shenjat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tabelat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rrugore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(mes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(siç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brendshme)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ajër.</w:t>
      </w:r>
    </w:p>
    <w:p w14:paraId="7B5ABAC1" w14:textId="63542575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ii</w:t>
      </w:r>
      <w:r w:rsidR="004F2E5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Qeveria</w:t>
      </w:r>
    </w:p>
    <w:p w14:paraId="62BB7446" w14:textId="075A044E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ushtruar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joproporcionale,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nivel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51483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514831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Kryeministrinë.</w:t>
      </w:r>
    </w:p>
    <w:p w14:paraId="4C688C80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parandaluese,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përkatësisht: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perimetrit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barriere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betoni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bllokimin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automjeteve;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thirrje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megafon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ndalonin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dhunshme;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zjarrit.</w:t>
      </w:r>
    </w:p>
    <w:p w14:paraId="61E2F9FE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udhëzime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demonstratave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specifike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demonstratën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</w:p>
    <w:p w14:paraId="5B9D69E7" w14:textId="2E2DD96A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iii</w:t>
      </w:r>
      <w:r w:rsidR="004F2E5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Pala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tretë</w:t>
      </w:r>
    </w:p>
    <w:p w14:paraId="40F49A96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kuadri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brendshëm,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fuqi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përputhje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sepse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fuqi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autorizonin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thjeshtë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shkatërrimit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“pronës”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“objekteve”.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tepër,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hapësirë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publike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parakushtit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rrezikut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çastit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njerëzve.</w:t>
      </w:r>
    </w:p>
    <w:p w14:paraId="02DB33E7" w14:textId="2363CC9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b)</w:t>
      </w:r>
      <w:r w:rsidR="00514831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Vlerësimi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>Gjykatës</w:t>
      </w:r>
    </w:p>
    <w:p w14:paraId="2E62DC5E" w14:textId="280DFE7F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</w:t>
      </w:r>
      <w:r w:rsidR="004F2E52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shteti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paditur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mori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masat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nevojshme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legjislative,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rregullatore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pakësuar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mundur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pasojat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negative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forcës</w:t>
      </w:r>
    </w:p>
    <w:p w14:paraId="21ACC583" w14:textId="6D39A5A6" w:rsidR="000C73AE" w:rsidRPr="000D299E" w:rsidRDefault="0073306D" w:rsidP="000C73AE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B033B9">
        <w:rPr>
          <w:rFonts w:ascii="Garamond" w:hAnsi="Garamond" w:cs="Times New Roman"/>
          <w:color w:val="000000"/>
          <w:sz w:val="24"/>
          <w:szCs w:val="24"/>
        </w:rPr>
        <w:t>α</w:t>
      </w:r>
      <w:r w:rsidR="000C73AE" w:rsidRPr="00B033B9">
        <w:rPr>
          <w:rFonts w:ascii="Garamond" w:hAnsi="Garamond" w:cs="Times New Roman"/>
          <w:color w:val="000000"/>
          <w:sz w:val="24"/>
          <w:szCs w:val="24"/>
        </w:rPr>
        <w:t>)</w:t>
      </w:r>
      <w:r w:rsidR="00B033B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B033B9">
        <w:rPr>
          <w:rFonts w:ascii="Garamond" w:hAnsi="Garamond" w:cs="Times New Roman"/>
          <w:color w:val="000000"/>
          <w:sz w:val="24"/>
          <w:szCs w:val="24"/>
        </w:rPr>
        <w:t>Parime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</w:p>
    <w:p w14:paraId="7C220861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Giuliani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Gaggio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poshtë:</w:t>
      </w:r>
    </w:p>
    <w:p w14:paraId="40A8709E" w14:textId="3C5E87B7" w:rsidR="000C73AE" w:rsidRPr="0073306D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“</w:t>
      </w:r>
      <w:r w:rsidRPr="0073306D">
        <w:rPr>
          <w:rFonts w:ascii="Garamond" w:hAnsi="Garamond" w:cs="Times New Roman"/>
          <w:color w:val="000000"/>
          <w:sz w:val="20"/>
          <w:szCs w:val="20"/>
        </w:rPr>
        <w:t>208.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3306D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1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urdhëron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Shtetin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vetëm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mos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marrë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jetën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dashje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mënyrë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paligjshme,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edhe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marrë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masat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duhura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mbrojtur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jetën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atyre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janë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brenda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juridiksionit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tij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LCB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Mbretërisë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së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lastRenderedPageBreak/>
        <w:t>Bashkuar</w:t>
      </w:r>
      <w:r w:rsidRPr="0073306D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9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qershor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1998,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3306D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36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Raportet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1998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III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Osmani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Mbretërisë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së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Bashkuar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28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tetor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1998,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3306D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115,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Raportet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1998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VIII).</w:t>
      </w:r>
    </w:p>
    <w:p w14:paraId="18F52F26" w14:textId="571F4C0E" w:rsidR="000C73AE" w:rsidRPr="0073306D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3306D">
        <w:rPr>
          <w:rFonts w:ascii="Garamond" w:hAnsi="Garamond" w:cs="Times New Roman"/>
          <w:color w:val="000000"/>
          <w:sz w:val="20"/>
          <w:szCs w:val="20"/>
        </w:rPr>
        <w:t>209.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Detyra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kryesore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siguruar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drejtën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jetën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përfshin,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veçanti,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krijimin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kuadri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përshtatshëm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ligjor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administrativ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përcakton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rrethanat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kufizuara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cilave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punonjësit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zbatimit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ligjit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përdorin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forcën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armët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zjarrit,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standardeve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përkatëse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ndërkombëtareve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Makaratzis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Greqisë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50385/99,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3306D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57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59,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2004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XI,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Bakan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3306D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49;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shihni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gjithashtu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paragrafët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përkatës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Parimeve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OKB-së,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paragrafi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154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lart).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përputhje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parimin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proporcionalitetit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rreptë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rrënjosur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nenin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paragrafin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176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lart),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kuadri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ligjor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kombëtar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konsiderojë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armët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zjarrit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varësi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vlerësimi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kujdesshëm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situatës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(shihni,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mutatis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mutandis</w:t>
      </w:r>
      <w:r w:rsidRPr="0073306D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Nachova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73306D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sipër,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3306D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96).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tepër,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ligji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kombëtar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rregullon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operacionet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policore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sigurojë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sistem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garancive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duhura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efektive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kundër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arbitraritetit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abuzimit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forcës,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madje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edhe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kundër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aksidenteve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shmangshme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i/>
          <w:iCs/>
          <w:color w:val="000000"/>
          <w:sz w:val="20"/>
          <w:szCs w:val="20"/>
        </w:rPr>
        <w:t>Makaratzis</w:t>
      </w:r>
      <w:r w:rsidRPr="0073306D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3306D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3306D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3306D">
        <w:rPr>
          <w:rFonts w:ascii="Garamond" w:hAnsi="Garamond" w:cs="Times New Roman"/>
          <w:color w:val="000000"/>
          <w:sz w:val="20"/>
          <w:szCs w:val="20"/>
        </w:rPr>
        <w:t>58).</w:t>
      </w:r>
    </w:p>
    <w:p w14:paraId="111E7ECD" w14:textId="5BFD1F11" w:rsidR="000C73AE" w:rsidRPr="000D299E" w:rsidRDefault="0073306D" w:rsidP="000C73AE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CB6DE3">
        <w:rPr>
          <w:rFonts w:ascii="Garamond" w:hAnsi="Garamond" w:cs="Times New Roman"/>
          <w:color w:val="000000"/>
          <w:sz w:val="24"/>
          <w:szCs w:val="24"/>
        </w:rPr>
        <w:t>β</w:t>
      </w:r>
      <w:r w:rsidR="000C73AE" w:rsidRPr="00CB6DE3">
        <w:rPr>
          <w:rFonts w:ascii="Garamond" w:hAnsi="Garamond" w:cs="Times New Roman"/>
          <w:color w:val="000000"/>
          <w:sz w:val="24"/>
          <w:szCs w:val="24"/>
        </w:rPr>
        <w:t>)</w:t>
      </w:r>
      <w:r w:rsidR="00CB6DE3" w:rsidRPr="00CB6DE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CB6DE3">
        <w:rPr>
          <w:rFonts w:ascii="Garamond" w:hAnsi="Garamond" w:cs="Times New Roman"/>
          <w:color w:val="000000"/>
          <w:sz w:val="24"/>
          <w:szCs w:val="24"/>
        </w:rPr>
        <w:t>Zbatimi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këtyre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parimeve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fjalë</w:t>
      </w:r>
    </w:p>
    <w:p w14:paraId="59F34893" w14:textId="14C569E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miratuara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Kongresi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Bashkuara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Parandalimin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Trajtimin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(Havana,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Kubë,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gusht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shtator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1990),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parashikojnë,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inter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alia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“agjencitë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miratojnë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zbatojnë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njerëzve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Giuliani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Gaggio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154).</w:t>
      </w:r>
    </w:p>
    <w:p w14:paraId="653421E4" w14:textId="2C304939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përsërit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mëparshme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shqyrtuar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kuadrin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rregullator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ekzistues</w:t>
      </w:r>
      <w:r w:rsidR="00523CA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McCann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150,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Makaratzis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Greqisë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[GC]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50385/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99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56</w:t>
      </w:r>
      <w:r w:rsidR="004F2E52">
        <w:rPr>
          <w:rFonts w:ascii="Garamond" w:hAnsi="Garamond"/>
          <w:i/>
          <w:iCs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59,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GJEDNJ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2004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XI).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njëjta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qasje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pasqyrohet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OKB-së,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rregulloret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mjaft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përshkruajnë,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inter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alia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llojet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municioneve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lejuara.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analizojë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kuadrin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pamjaftueshëm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Tagayeva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Rusisë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26562/07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592,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prill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2017).</w:t>
      </w:r>
    </w:p>
    <w:p w14:paraId="1C0516A6" w14:textId="509ADDCA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149.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theksohet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kuadri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rregullator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2014</w:t>
      </w:r>
      <w:r w:rsidR="00523CA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72/2014</w:t>
      </w:r>
      <w:r w:rsidR="00523CA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523CA1">
        <w:rPr>
          <w:rFonts w:ascii="Garamond" w:hAnsi="Garamond" w:cs="Times New Roman"/>
          <w:color w:val="000000"/>
          <w:sz w:val="24"/>
          <w:szCs w:val="24"/>
        </w:rPr>
        <w:t>“</w:t>
      </w:r>
      <w:r w:rsidR="00523CA1" w:rsidRPr="000D299E">
        <w:rPr>
          <w:rFonts w:ascii="Garamond" w:hAnsi="Garamond" w:cs="Times New Roman"/>
          <w:color w:val="000000"/>
          <w:sz w:val="24"/>
          <w:szCs w:val="24"/>
        </w:rPr>
        <w:t xml:space="preserve">Për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523CA1">
        <w:rPr>
          <w:rFonts w:ascii="Garamond" w:hAnsi="Garamond" w:cs="Times New Roman"/>
          <w:color w:val="000000"/>
          <w:sz w:val="24"/>
          <w:szCs w:val="24"/>
        </w:rPr>
        <w:t>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2021</w:t>
      </w:r>
      <w:r w:rsidR="00523CA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33/2021</w:t>
      </w:r>
      <w:r w:rsidR="00523CA1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523CA1">
        <w:rPr>
          <w:rFonts w:ascii="Garamond" w:hAnsi="Garamond" w:cs="Times New Roman"/>
          <w:color w:val="000000"/>
          <w:sz w:val="24"/>
          <w:szCs w:val="24"/>
        </w:rPr>
        <w:t>“</w:t>
      </w:r>
      <w:r w:rsidR="00523CA1" w:rsidRPr="000D299E">
        <w:rPr>
          <w:rFonts w:ascii="Garamond" w:hAnsi="Garamond" w:cs="Times New Roman"/>
          <w:color w:val="000000"/>
          <w:sz w:val="24"/>
          <w:szCs w:val="24"/>
        </w:rPr>
        <w:t xml:space="preserve">Për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523CA1">
        <w:rPr>
          <w:rFonts w:ascii="Garamond" w:hAnsi="Garamond" w:cs="Times New Roman"/>
          <w:color w:val="000000"/>
          <w:sz w:val="24"/>
          <w:szCs w:val="24"/>
        </w:rPr>
        <w:t>”</w:t>
      </w:r>
      <w:r w:rsidRPr="000D299E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krahasojë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kuadrit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abstracto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Svitlana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Atamanyuk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Ukrainës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36314/06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shtator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2016).</w:t>
      </w:r>
    </w:p>
    <w:p w14:paraId="0A42AA96" w14:textId="09D0E21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150.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dispozitat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parashikuan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1998,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2003,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2005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90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zbatohej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Armatosura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Shqipërisë,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armatosura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krijuara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pjesëtarë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Armatosura)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roje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armatosura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civile;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plotësues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njëri-tjetrit.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DE7B88">
        <w:rPr>
          <w:rFonts w:ascii="Garamond" w:hAnsi="Garamond" w:cs="Times New Roman"/>
          <w:color w:val="000000"/>
          <w:sz w:val="24"/>
          <w:szCs w:val="24"/>
        </w:rPr>
        <w:t>l</w:t>
      </w:r>
      <w:r w:rsidRPr="000D299E">
        <w:rPr>
          <w:rFonts w:ascii="Garamond" w:hAnsi="Garamond" w:cs="Times New Roman"/>
          <w:color w:val="000000"/>
          <w:sz w:val="24"/>
          <w:szCs w:val="24"/>
        </w:rPr>
        <w:t>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lejohej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parashikonte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shembull,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përgjigje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padrejtë,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pashmangshëm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proporcion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rrezikun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përballej.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fuqi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lejonin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rrjedhojë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potencialisht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DE7B88">
        <w:rPr>
          <w:rFonts w:ascii="Garamond" w:hAnsi="Garamond" w:cs="Times New Roman"/>
          <w:color w:val="000000"/>
          <w:sz w:val="24"/>
          <w:szCs w:val="24"/>
        </w:rPr>
        <w:t>l</w:t>
      </w:r>
      <w:r w:rsidRPr="000D299E">
        <w:rPr>
          <w:rFonts w:ascii="Garamond" w:hAnsi="Garamond" w:cs="Times New Roman"/>
          <w:color w:val="000000"/>
          <w:sz w:val="24"/>
          <w:szCs w:val="24"/>
        </w:rPr>
        <w:t>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DE7B88">
        <w:rPr>
          <w:rFonts w:ascii="Garamond" w:hAnsi="Garamond" w:cs="Times New Roman"/>
          <w:color w:val="000000"/>
          <w:sz w:val="24"/>
          <w:szCs w:val="24"/>
        </w:rPr>
        <w:t>: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“dëmi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madh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zmbrapsur”.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parasysh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formulimin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pikë,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madh”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rreziku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personi.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problematik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autorizonte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mëtejshme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llojin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jashtëzakonshme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justifikohej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zjarrit..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rëndësishme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lejonte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“armëve”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ruajtje”.</w:t>
      </w:r>
    </w:p>
    <w:p w14:paraId="3A96EC86" w14:textId="6486DF1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151.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DE7B88" w:rsidRPr="000D299E">
        <w:rPr>
          <w:rFonts w:ascii="Garamond" w:hAnsi="Garamond" w:cs="Times New Roman"/>
          <w:color w:val="000000"/>
          <w:sz w:val="24"/>
          <w:szCs w:val="24"/>
        </w:rPr>
        <w:t xml:space="preserve">ligji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ndalonte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publike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grumbullime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njerëzish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rrezik”,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lejonte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përjashtime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veçanërisht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publike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grumbullime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njerëzish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kufizuar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p.sh.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kufizuese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rezultatet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dëshiruara),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lejon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tillë.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përjashtohet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plotësisht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justifikohet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jashtëzakonshme,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përcaktohen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kuadri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ende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referohet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“zmbrapsjes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ruajtje”,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>
        <w:rPr>
          <w:rFonts w:ascii="Garamond" w:hAnsi="Garamond" w:cs="Times New Roman"/>
          <w:color w:val="000000"/>
          <w:sz w:val="24"/>
          <w:szCs w:val="24"/>
        </w:rPr>
        <w:t>n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rrezik.</w:t>
      </w:r>
    </w:p>
    <w:p w14:paraId="4AFC94B7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152.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parasysh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justifikimet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tepër,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parashikonin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njerëzve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paralajmëruese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ajër.</w:t>
      </w:r>
    </w:p>
    <w:p w14:paraId="56E2079F" w14:textId="4EF1C604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ii</w:t>
      </w:r>
      <w:r w:rsidR="00704A7C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justifikuar</w:t>
      </w:r>
    </w:p>
    <w:p w14:paraId="384B421E" w14:textId="77F04151" w:rsidR="000C73AE" w:rsidRPr="000D299E" w:rsidRDefault="002E37C8" w:rsidP="000C73AE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3D3976">
        <w:rPr>
          <w:rFonts w:ascii="Garamond" w:hAnsi="Garamond" w:cs="Times New Roman"/>
          <w:color w:val="000000"/>
          <w:sz w:val="24"/>
          <w:szCs w:val="24"/>
        </w:rPr>
        <w:t>α</w:t>
      </w:r>
      <w:r w:rsidR="000C73AE" w:rsidRPr="003D3976">
        <w:rPr>
          <w:rFonts w:ascii="Garamond" w:hAnsi="Garamond" w:cs="Times New Roman"/>
          <w:color w:val="000000"/>
          <w:sz w:val="24"/>
          <w:szCs w:val="24"/>
        </w:rPr>
        <w:t>)</w:t>
      </w:r>
      <w:r w:rsidR="003D3976" w:rsidRPr="003D3976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3D3976">
        <w:rPr>
          <w:rFonts w:ascii="Garamond" w:hAnsi="Garamond" w:cs="Times New Roman"/>
          <w:color w:val="000000"/>
          <w:sz w:val="24"/>
          <w:szCs w:val="24"/>
        </w:rPr>
        <w:t>Parime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</w:p>
    <w:p w14:paraId="3A344D32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153.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Giuliani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Gaggio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poshtë:</w:t>
      </w:r>
    </w:p>
    <w:p w14:paraId="038237E8" w14:textId="11878A05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“174.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rithekson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renditet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dispozitat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themelore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tillë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kohë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paqeje,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pranon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asnjë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shmangie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nenit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15.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bashku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nenin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3,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shpreh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vlerat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themelore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shoqëri</w:t>
      </w:r>
      <w:r w:rsidR="007933E9">
        <w:rPr>
          <w:rFonts w:ascii="Garamond" w:hAnsi="Garamond" w:cs="Times New Roman"/>
          <w:color w:val="000000"/>
          <w:sz w:val="20"/>
          <w:szCs w:val="20"/>
        </w:rPr>
        <w:t>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demokratike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përbëjnë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Këshillin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7933E9" w:rsidRPr="007933E9">
        <w:rPr>
          <w:rFonts w:ascii="Garamond" w:hAnsi="Garamond" w:cs="Times New Roman"/>
          <w:color w:val="000000"/>
          <w:sz w:val="20"/>
          <w:szCs w:val="20"/>
        </w:rPr>
        <w:t>Evropës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shumë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autoriteteve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tjera,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Andronicou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Constantinou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Qipros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9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tetor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1997,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171,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Raportet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vendimeve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1997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Solomou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36832/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97,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63,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24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qershor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2008).</w:t>
      </w:r>
    </w:p>
    <w:p w14:paraId="35A7705C" w14:textId="17C68AF4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175.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Përjashtimet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përcaktuara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paragrafin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</w:t>
      </w:r>
      <w:r w:rsid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tregojnë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përfshin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bëjë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ekskluzivisht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vrasjen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dashje.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Teksti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nenit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lexuar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tërësi,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tregon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paragrafi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përcakton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kryesisht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rastet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lejohet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vrasja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dashje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personi,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përshkruan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situatat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lejohet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“përdorimi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forcës”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rezultojë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marrjen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jetës,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rezultat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paqëllimshëm.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Megjithatë,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përdorimi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forcës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shumë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aq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“absolutisht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nevojshëm”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arritjen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prej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qëllimeve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përcaktuara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nënparagrafët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704A7C" w:rsidRPr="007933E9">
        <w:rPr>
          <w:rFonts w:ascii="Garamond" w:hAnsi="Garamond" w:cs="Times New Roman"/>
          <w:color w:val="000000"/>
          <w:sz w:val="20"/>
          <w:szCs w:val="20"/>
        </w:rPr>
        <w:t>“</w:t>
      </w:r>
      <w:r w:rsidRPr="007933E9">
        <w:rPr>
          <w:rFonts w:ascii="Garamond" w:hAnsi="Garamond" w:cs="Times New Roman"/>
          <w:color w:val="000000"/>
          <w:sz w:val="20"/>
          <w:szCs w:val="20"/>
        </w:rPr>
        <w:t>a</w:t>
      </w:r>
      <w:r w:rsidR="00704A7C" w:rsidRPr="007933E9">
        <w:rPr>
          <w:rFonts w:ascii="Garamond" w:hAnsi="Garamond" w:cs="Times New Roman"/>
          <w:color w:val="000000"/>
          <w:sz w:val="20"/>
          <w:szCs w:val="20"/>
        </w:rPr>
        <w:t>”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704A7C" w:rsidRPr="007933E9">
        <w:rPr>
          <w:rFonts w:ascii="Garamond" w:hAnsi="Garamond" w:cs="Times New Roman"/>
          <w:color w:val="000000"/>
          <w:sz w:val="20"/>
          <w:szCs w:val="20"/>
        </w:rPr>
        <w:t>“</w:t>
      </w:r>
      <w:r w:rsidRPr="007933E9">
        <w:rPr>
          <w:rFonts w:ascii="Garamond" w:hAnsi="Garamond" w:cs="Times New Roman"/>
          <w:color w:val="000000"/>
          <w:sz w:val="20"/>
          <w:szCs w:val="20"/>
        </w:rPr>
        <w:t>b</w:t>
      </w:r>
      <w:r w:rsidR="00704A7C" w:rsidRPr="007933E9">
        <w:rPr>
          <w:rFonts w:ascii="Garamond" w:hAnsi="Garamond" w:cs="Times New Roman"/>
          <w:color w:val="000000"/>
          <w:sz w:val="20"/>
          <w:szCs w:val="20"/>
        </w:rPr>
        <w:t>”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704A7C" w:rsidRPr="007933E9">
        <w:rPr>
          <w:rFonts w:ascii="Garamond" w:hAnsi="Garamond" w:cs="Times New Roman"/>
          <w:color w:val="000000"/>
          <w:sz w:val="20"/>
          <w:szCs w:val="20"/>
        </w:rPr>
        <w:t>“</w:t>
      </w:r>
      <w:r w:rsidRPr="007933E9">
        <w:rPr>
          <w:rFonts w:ascii="Garamond" w:hAnsi="Garamond" w:cs="Times New Roman"/>
          <w:color w:val="000000"/>
          <w:sz w:val="20"/>
          <w:szCs w:val="20"/>
        </w:rPr>
        <w:t>c</w:t>
      </w:r>
      <w:r w:rsidR="00704A7C" w:rsidRPr="007933E9">
        <w:rPr>
          <w:rFonts w:ascii="Garamond" w:hAnsi="Garamond" w:cs="Times New Roman"/>
          <w:color w:val="000000"/>
          <w:sz w:val="20"/>
          <w:szCs w:val="20"/>
        </w:rPr>
        <w:t>”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McCann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Mbretërisë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Bashkuar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27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shtator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1995,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148,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Seria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</w:t>
      </w:r>
      <w:r w:rsidR="00704A7C"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704A7C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324,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Solomou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sipër,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64).</w:t>
      </w:r>
    </w:p>
    <w:p w14:paraId="738E5249" w14:textId="48C18CB9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176.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Përdorimi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termit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“absolutisht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nevojshme”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tregon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përdoret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test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rreptë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bindës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domosdoshmërisë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sesa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zakonisht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zbatohet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përcaktohet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veprimi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“i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nevojshëm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shoqëri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demokratike”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paragrafëve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</w:t>
      </w:r>
      <w:r w:rsid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neneve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8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deri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11</w:t>
      </w:r>
      <w:r w:rsid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veçanti,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forca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përdorur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rreptësisht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proporcionale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arritjen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qëllimeve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përcaktuara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nënparagrafët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7933E9">
        <w:rPr>
          <w:rFonts w:ascii="Garamond" w:hAnsi="Garamond" w:cs="Times New Roman"/>
          <w:color w:val="000000"/>
          <w:sz w:val="20"/>
          <w:szCs w:val="20"/>
        </w:rPr>
        <w:t>“</w:t>
      </w:r>
      <w:r w:rsidRPr="007933E9">
        <w:rPr>
          <w:rFonts w:ascii="Garamond" w:hAnsi="Garamond" w:cs="Times New Roman"/>
          <w:color w:val="000000"/>
          <w:sz w:val="20"/>
          <w:szCs w:val="20"/>
        </w:rPr>
        <w:t>a</w:t>
      </w:r>
      <w:r w:rsidR="007933E9">
        <w:rPr>
          <w:rFonts w:ascii="Garamond" w:hAnsi="Garamond" w:cs="Times New Roman"/>
          <w:color w:val="000000"/>
          <w:sz w:val="20"/>
          <w:szCs w:val="20"/>
        </w:rPr>
        <w:t>”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7933E9">
        <w:rPr>
          <w:rFonts w:ascii="Garamond" w:hAnsi="Garamond" w:cs="Times New Roman"/>
          <w:color w:val="000000"/>
          <w:sz w:val="20"/>
          <w:szCs w:val="20"/>
        </w:rPr>
        <w:t>“</w:t>
      </w:r>
      <w:r w:rsidRPr="007933E9">
        <w:rPr>
          <w:rFonts w:ascii="Garamond" w:hAnsi="Garamond" w:cs="Times New Roman"/>
          <w:color w:val="000000"/>
          <w:sz w:val="20"/>
          <w:szCs w:val="20"/>
        </w:rPr>
        <w:t>b</w:t>
      </w:r>
      <w:r w:rsidR="007933E9">
        <w:rPr>
          <w:rFonts w:ascii="Garamond" w:hAnsi="Garamond" w:cs="Times New Roman"/>
          <w:color w:val="000000"/>
          <w:sz w:val="20"/>
          <w:szCs w:val="20"/>
        </w:rPr>
        <w:t>”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7933E9">
        <w:rPr>
          <w:rFonts w:ascii="Garamond" w:hAnsi="Garamond" w:cs="Times New Roman"/>
          <w:color w:val="000000"/>
          <w:sz w:val="20"/>
          <w:szCs w:val="20"/>
        </w:rPr>
        <w:t>“</w:t>
      </w:r>
      <w:r w:rsidRPr="007933E9">
        <w:rPr>
          <w:rFonts w:ascii="Garamond" w:hAnsi="Garamond" w:cs="Times New Roman"/>
          <w:color w:val="000000"/>
          <w:sz w:val="20"/>
          <w:szCs w:val="20"/>
        </w:rPr>
        <w:t>c</w:t>
      </w:r>
      <w:r w:rsidR="007933E9">
        <w:rPr>
          <w:rFonts w:ascii="Garamond" w:hAnsi="Garamond" w:cs="Times New Roman"/>
          <w:color w:val="000000"/>
          <w:sz w:val="20"/>
          <w:szCs w:val="20"/>
        </w:rPr>
        <w:t>”,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nenit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Gjithashtu,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përputhje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rëndësinë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kësaj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dispozite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shoqëri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demokratike,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gjatë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vlerësimit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saj,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shqyrtojë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marrjen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mënyrën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kujdesshme,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veçanërisht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përdoret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forca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vdekjeprurëse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dashje,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duke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marrë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parasysh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vetëm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veprimet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punonjësve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administrojnë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forcën,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gjitha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rrethanat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tjera,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duke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përfshirë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çështje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tilla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planifikimi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kontrolli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veprimeve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merren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shqyrtim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McCann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147</w:t>
      </w:r>
      <w:r w:rsidR="007933E9">
        <w:rPr>
          <w:rFonts w:ascii="Garamond" w:hAnsi="Garamond" w:cs="Times New Roman"/>
          <w:color w:val="000000"/>
          <w:sz w:val="20"/>
          <w:szCs w:val="20"/>
        </w:rPr>
        <w:t>–</w:t>
      </w:r>
      <w:r w:rsidRPr="007933E9">
        <w:rPr>
          <w:rFonts w:ascii="Garamond" w:hAnsi="Garamond" w:cs="Times New Roman"/>
          <w:color w:val="000000"/>
          <w:sz w:val="20"/>
          <w:szCs w:val="20"/>
        </w:rPr>
        <w:t>150,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Andronicou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Constantinou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171;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gjithashtu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Avşar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</w:t>
      </w:r>
      <w:r w:rsidR="00704A7C" w:rsidRPr="007933E9">
        <w:rPr>
          <w:rFonts w:ascii="Garamond" w:hAnsi="Garamond" w:cs="Times New Roman"/>
          <w:color w:val="000000"/>
          <w:sz w:val="20"/>
          <w:szCs w:val="20"/>
        </w:rPr>
        <w:t>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25657/94,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391,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2001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VII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Musayev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Rusisë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57941/00,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58699/00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60403/00,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142,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26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korrik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2007).</w:t>
      </w:r>
    </w:p>
    <w:p w14:paraId="35F7A4B2" w14:textId="62F8D044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177.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Rrethanat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cilat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justifikohet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marrja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interpretohen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mënyrë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tepër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rreptë.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Objekti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qëllimi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</w:t>
      </w:r>
      <w:r w:rsid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instrument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mbrojtjen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qenieve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njerëzore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individuale</w:t>
      </w:r>
      <w:r w:rsid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kërkon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gjithashtu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interpretohet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zbatohet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mënyrë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t’i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bëjë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garancitë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tij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praktike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efektive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Solomou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sipër,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63).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veçanti,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shprehet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hapja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zjarrit,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kurdoherë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mundur,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paraprihet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shtëna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paralajmëruese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Kallis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Androulla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Panayi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45388/99,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62,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27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tetor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2009;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gjithashtu,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veçanti,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paragrafin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10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Parimeve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OKB-së,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paragrafi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154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lart).</w:t>
      </w:r>
    </w:p>
    <w:p w14:paraId="787602F9" w14:textId="00204582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lastRenderedPageBreak/>
        <w:t>178.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Përdorimi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forcës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punonjësit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zbatimin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prej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qëllimeve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përcaktuara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paragrafin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</w:t>
      </w:r>
      <w:r w:rsid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nenit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</w:t>
      </w:r>
      <w:r w:rsid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</w:t>
      </w:r>
      <w:r w:rsid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justifikohet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kësaj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dispozite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bazohet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bindje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vërtetë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perceptohet,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arsye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mira,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vlefshme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kohë,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rezulton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gabuar.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Qëndrimi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kundërt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ishte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imponimi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barre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joreale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mbi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Shtetin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punonjësit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tij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zbatimit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ligjit</w:t>
      </w:r>
      <w:r w:rsid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ekzekutimin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detyrës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tyre,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ndoshta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dëm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tjerëve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McCann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Andronicou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Constantinou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192).</w:t>
      </w:r>
    </w:p>
    <w:p w14:paraId="625D0124" w14:textId="7117476B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179.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shkëputur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ngjarjet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fjalë,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kërkohet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shqyrtojë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përdorimi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forcës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vdekjeprurëse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ishte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legjitim,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zëvendësojë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vlerësimin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situatës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prej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oficeri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cilit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kërkuar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reagojë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momentin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nxehtë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shmangur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rrezik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perceptuar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vërtetë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ndaj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tij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Bubbins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Mbretërisë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Bashkuar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50196/99,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139,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2005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II).</w:t>
      </w:r>
    </w:p>
    <w:p w14:paraId="2501B77E" w14:textId="322E6116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180.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gjithashtu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kujdesshme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marrjen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rolit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faktit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shkallës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parë</w:t>
      </w:r>
      <w:r w:rsidR="007933E9">
        <w:rPr>
          <w:rFonts w:ascii="Garamond" w:hAnsi="Garamond" w:cs="Times New Roman"/>
          <w:color w:val="000000"/>
          <w:sz w:val="20"/>
          <w:szCs w:val="20"/>
        </w:rPr>
        <w:t>-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kjo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pashmangshme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rrethanat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çështjeje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veçantë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shembull,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McKerr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Mbretërisë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Bashkuar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(dec.)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</w:t>
      </w:r>
      <w:r w:rsidR="00704A7C" w:rsidRPr="007933E9">
        <w:rPr>
          <w:rFonts w:ascii="Garamond" w:hAnsi="Garamond" w:cs="Times New Roman"/>
          <w:color w:val="000000"/>
          <w:sz w:val="20"/>
          <w:szCs w:val="20"/>
        </w:rPr>
        <w:t>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28883/95,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4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prill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2000).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rregull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përgjithshëm,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janë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zhvilluar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procese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brendshme,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detyrë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zëvendësojë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vlerësimin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fakteve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prej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vendase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u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takon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këtyre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fundit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përcaktojnë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faktet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bazë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provave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përpara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shumë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autoriteteve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tjera,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Edwards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Mbretërisë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Bashkuar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16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dhjetor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1992,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34,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Seria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247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Klaas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Gjermanisë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22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shtator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1993,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29,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Seria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</w:t>
      </w:r>
      <w:r w:rsid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269).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Megjithëse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detyruar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gjetjet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vendase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mbetet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bëjë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vlerësimin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dritën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gjithë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materialit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saj,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rrethana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normale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ajo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kërkon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elemente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bindëse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shtyjnë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largohet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gjetjet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faktit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nxjerra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brendshme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Avşar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sipër,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283,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Barbu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Anghelescu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Rumanisë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46430/99,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52,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5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tetor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2004).</w:t>
      </w:r>
    </w:p>
    <w:p w14:paraId="4DE92873" w14:textId="01AD83F5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181.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vlerësuar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provat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faktike,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miraton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standardin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provuarit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“përtej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dyshimit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arsyeshëm”,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provuarit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tillë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rrjedhë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bashkëekzistenca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konkluzioneve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mjaftueshëm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forta,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qarta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përputhshme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supozimeve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ngjashme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pakundërshtuara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faktit.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kontekst,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merret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parasysh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sjellja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palëve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gjatë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marrjes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provave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Irlanda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Mbretërisë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Bashkuar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18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janar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1978,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161,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Seria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25,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Orhan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25656/94,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264,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18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qershor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2002).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tepër,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niveli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bindjes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nevojshme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arritur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përfundim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caktuar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lidhje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këtë,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shpërndarja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barrës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provës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janë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lidhura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thellësisht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specifikën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fakteve,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natyrën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pretendimeve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ngritura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drejtën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fjalë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gjithashtu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vëmendshme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ndaj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seriozitetit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kushton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vendimi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Kontraktues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shkelur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drejtat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themelore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Ribitsch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Austrisë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4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dhjetor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1995,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32,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Seria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</w:t>
      </w:r>
      <w:r w:rsid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336;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Ilaşcu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Moldavisë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Rusisë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[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GC]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704A7C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48787/99,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26,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2004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VII;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Nachova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Bullgarisë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[GC]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43577/98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43579/98,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147,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2005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VII;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Solomou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66).</w:t>
      </w:r>
    </w:p>
    <w:p w14:paraId="04C1AF27" w14:textId="4D21EC7F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182.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veçanërisht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vigjilente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rastet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pretendohen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shkelje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neneve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3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mutatis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mutandis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Ribitsch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32).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pasur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parasysh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procese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penale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brendshme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lidhje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këto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pretendime,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përgjegjësia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penale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ligjore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ndryshme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përgjegjësia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Kompetenca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kufizohet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kjo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fundit.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përgjegjësia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bazohet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dispozitat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cilat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interpretohen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dritën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objektit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qëllimit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duke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marrë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parasysh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çdo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rregull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apo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parim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përkatës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drejtës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ndërkombëtare.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Përgjegjësia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466B1E" w:rsidRPr="007933E9">
        <w:rPr>
          <w:rFonts w:ascii="Garamond" w:hAnsi="Garamond" w:cs="Times New Roman"/>
          <w:color w:val="000000"/>
          <w:sz w:val="20"/>
          <w:szCs w:val="20"/>
        </w:rPr>
        <w:t xml:space="preserve">shteti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lind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veprimet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organeve,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agjentëve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nëpunësve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tij,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ngatërrohet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çështjet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brendshme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ligjore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përgjegjësisë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penale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individuale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shqyrtohen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penale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kombëtare.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përpiqet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dalë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gjetje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fajësinë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pafajësinë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kuptim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Tanlı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Turqisë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nr.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26129/95,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111,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GJEDNJ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2001</w:t>
      </w:r>
      <w:r w:rsidR="00106D5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III,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Avşar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284).</w:t>
      </w:r>
    </w:p>
    <w:p w14:paraId="156929D0" w14:textId="3AFCF7EF" w:rsidR="000C73AE" w:rsidRPr="000D299E" w:rsidRDefault="007933E9" w:rsidP="000C73AE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BB1419">
        <w:rPr>
          <w:rFonts w:ascii="Garamond" w:hAnsi="Garamond" w:cs="Times New Roman"/>
          <w:color w:val="000000"/>
          <w:sz w:val="24"/>
          <w:szCs w:val="24"/>
        </w:rPr>
        <w:t>β</w:t>
      </w:r>
      <w:r w:rsidR="000C73AE" w:rsidRPr="00BB1419">
        <w:rPr>
          <w:rFonts w:ascii="Garamond" w:hAnsi="Garamond" w:cs="Times New Roman"/>
          <w:color w:val="000000"/>
          <w:sz w:val="24"/>
          <w:szCs w:val="24"/>
        </w:rPr>
        <w:t>)</w:t>
      </w:r>
      <w:r w:rsidR="00BB1419" w:rsidRPr="00BB141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BB1419">
        <w:rPr>
          <w:rFonts w:ascii="Garamond" w:hAnsi="Garamond" w:cs="Times New Roman"/>
          <w:color w:val="000000"/>
          <w:sz w:val="24"/>
          <w:szCs w:val="24"/>
        </w:rPr>
        <w:t>Zbatimi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këtyre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parimeve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fjalë</w:t>
      </w:r>
    </w:p>
    <w:p w14:paraId="7E75BE57" w14:textId="6520819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154.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rithekson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shqyrtojë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legjitim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aftësi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kufizuar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fakteve.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rrjedhojë,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përputhje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subsidiaritetit,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preferon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mbështetet,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mundur,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juridiksionit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organ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parlamentar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shembull,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Perişan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Turqisë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12336/03,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75,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Ceyhan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Demir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Turqisë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34491/97,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95,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2005),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hequr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plotësisht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kompetenca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mbikëqyrëse,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mirëkuptimin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Kavaklıoğlu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Turqisë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15397/02,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168,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2015,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Kukhalashvili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Gjeorgjisë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8938/07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41891/07,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147,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prill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2020).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Mbështetja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varet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gjerësisht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cilësia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vendas,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tërësia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vijueshmëria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Finogenov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238,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referenca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mëtejshme).</w:t>
      </w:r>
    </w:p>
    <w:p w14:paraId="06140F23" w14:textId="54769FDB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155.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shteti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7933E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disproporcionale.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sheh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konkluzionet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qeveria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qeveria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mosveprimet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pozitivisht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nivel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7933E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vdiq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identiteti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implikuar.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Administrative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kundërshtim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33E9">
        <w:rPr>
          <w:rFonts w:ascii="Garamond" w:hAnsi="Garamond" w:cs="Times New Roman"/>
          <w:color w:val="000000"/>
          <w:sz w:val="24"/>
          <w:szCs w:val="24"/>
        </w:rPr>
        <w:t>l</w:t>
      </w:r>
      <w:r w:rsidRPr="000D299E">
        <w:rPr>
          <w:rFonts w:ascii="Garamond" w:hAnsi="Garamond" w:cs="Times New Roman"/>
          <w:color w:val="000000"/>
          <w:sz w:val="24"/>
          <w:szCs w:val="24"/>
        </w:rPr>
        <w:t>igjin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shtetërore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merrnin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shmangur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humbjen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ndjerit”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Prandaj,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vijojë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bazën,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pakontestueshme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palët,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2011.</w:t>
      </w:r>
    </w:p>
    <w:p w14:paraId="4A956B2F" w14:textId="7CC1FEB9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156.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kuadër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7933E9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7933E9">
        <w:rPr>
          <w:rFonts w:ascii="Garamond" w:hAnsi="Garamond" w:cs="Times New Roman"/>
          <w:color w:val="000000"/>
          <w:sz w:val="24"/>
          <w:szCs w:val="24"/>
        </w:rPr>
        <w:t>.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Apelit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(madje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zmbrapsur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vazhdueshme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përpjekjet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kufizuar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pasqyrë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plotë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paraprirë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Prandaj,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përcaktuar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tashmë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procedural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ndjekjes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paraqisnin,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aktakuzën,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kronologji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saktë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momentit(eve)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katër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117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</w:p>
    <w:p w14:paraId="613DD020" w14:textId="3068712B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157.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shihet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paqësore,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dëshmua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dëmtimi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lëndimet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pësuara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12</w:t>
      </w:r>
      <w:r w:rsidR="00704A7C">
        <w:rPr>
          <w:rFonts w:ascii="Garamond" w:hAnsi="Garamond" w:cs="Times New Roman"/>
          <w:color w:val="000000"/>
          <w:sz w:val="24"/>
          <w:szCs w:val="24"/>
        </w:rPr>
        <w:t>–</w:t>
      </w:r>
      <w:r w:rsidRPr="000D299E">
        <w:rPr>
          <w:rFonts w:ascii="Garamond" w:hAnsi="Garamond" w:cs="Times New Roman"/>
          <w:color w:val="000000"/>
          <w:sz w:val="24"/>
          <w:szCs w:val="24"/>
        </w:rPr>
        <w:t>14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16:00,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hekurt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makinave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veriore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hynë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përtej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oborrit,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përballën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kordonit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sigurisë.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përshkallëzim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fillimisht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megafon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përpjekje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suksesshme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oficerësh,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pajisur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mburoja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shkopinj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gome,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oborri.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shpejt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manovër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plagosjen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7933E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fatale.</w:t>
      </w:r>
    </w:p>
    <w:p w14:paraId="1B66449A" w14:textId="29418852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158.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diskutim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nivel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shpërndarjes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turmave.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topat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ujit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gazi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lotsjellës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herë,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qeveria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shpjegim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dispozicion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mjaftueshme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turmës.</w:t>
      </w:r>
    </w:p>
    <w:p w14:paraId="3D628DC7" w14:textId="44943C2F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159.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legjitim,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qeveria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legjitim.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rithekson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justifikohet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renditura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përkatësisht: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paligjshme;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arrestim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parandaluar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arratisjen;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kundërshtuar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trazirë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kryengritje.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adresohet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demonstruesve</w:t>
      </w:r>
      <w:r w:rsidR="007933E9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2011</w:t>
      </w:r>
      <w:r w:rsidR="007933E9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qëllimeve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legjitime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lartpërmendura.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pikën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04A7C">
        <w:rPr>
          <w:rFonts w:ascii="Garamond" w:hAnsi="Garamond" w:cs="Times New Roman"/>
          <w:color w:val="000000"/>
          <w:sz w:val="24"/>
          <w:szCs w:val="24"/>
        </w:rPr>
        <w:t>“</w:t>
      </w:r>
      <w:r w:rsidRPr="000D299E">
        <w:rPr>
          <w:rFonts w:ascii="Garamond" w:hAnsi="Garamond" w:cs="Times New Roman"/>
          <w:color w:val="000000"/>
          <w:sz w:val="24"/>
          <w:szCs w:val="24"/>
        </w:rPr>
        <w:t>b</w:t>
      </w:r>
      <w:r w:rsidR="00704A7C">
        <w:rPr>
          <w:rFonts w:ascii="Garamond" w:hAnsi="Garamond" w:cs="Times New Roman"/>
          <w:color w:val="000000"/>
          <w:sz w:val="24"/>
          <w:szCs w:val="24"/>
        </w:rPr>
        <w:t>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vlefshme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konkret.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22262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pikën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04A7C">
        <w:rPr>
          <w:rFonts w:ascii="Garamond" w:hAnsi="Garamond" w:cs="Times New Roman"/>
          <w:color w:val="000000"/>
          <w:sz w:val="24"/>
          <w:szCs w:val="24"/>
        </w:rPr>
        <w:t>“</w:t>
      </w:r>
      <w:r w:rsidRPr="000D299E">
        <w:rPr>
          <w:rFonts w:ascii="Garamond" w:hAnsi="Garamond" w:cs="Times New Roman"/>
          <w:color w:val="000000"/>
          <w:sz w:val="24"/>
          <w:szCs w:val="24"/>
        </w:rPr>
        <w:t>a</w:t>
      </w:r>
      <w:r w:rsidR="00704A7C">
        <w:rPr>
          <w:rFonts w:ascii="Garamond" w:hAnsi="Garamond" w:cs="Times New Roman"/>
          <w:color w:val="000000"/>
          <w:sz w:val="24"/>
          <w:szCs w:val="24"/>
        </w:rPr>
        <w:t>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04A7C">
        <w:rPr>
          <w:rFonts w:ascii="Garamond" w:hAnsi="Garamond" w:cs="Times New Roman"/>
          <w:color w:val="000000"/>
          <w:sz w:val="24"/>
          <w:szCs w:val="24"/>
        </w:rPr>
        <w:t>“</w:t>
      </w:r>
      <w:r w:rsidRPr="000D299E">
        <w:rPr>
          <w:rFonts w:ascii="Garamond" w:hAnsi="Garamond" w:cs="Times New Roman"/>
          <w:color w:val="000000"/>
          <w:sz w:val="24"/>
          <w:szCs w:val="24"/>
        </w:rPr>
        <w:t>c</w:t>
      </w:r>
      <w:r w:rsidR="00704A7C">
        <w:rPr>
          <w:rFonts w:ascii="Garamond" w:hAnsi="Garamond" w:cs="Times New Roman"/>
          <w:color w:val="000000"/>
          <w:sz w:val="24"/>
          <w:szCs w:val="24"/>
        </w:rPr>
        <w:t>”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14:30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hedhin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sende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forta,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gurë,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kundrejt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kordonit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zakonshëm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pësuan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lëndime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filloi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16:00,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vogël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hynë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oborrin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çfarë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saktësisht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reagimin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sepse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depërtuan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perimetrin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tashmë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pajisur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mburoja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shkopinj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parasysh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afatin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dispozicion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dosjen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momentin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relativisht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vogël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rrezik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serioz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çastit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nëpunës</w:t>
      </w:r>
      <w:r w:rsidR="007933E9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arsyeja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gjyqësor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vetvete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legjitim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ekzistonte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rrezik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çastit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tjetër.</w:t>
      </w:r>
    </w:p>
    <w:p w14:paraId="08E5F03A" w14:textId="72EB936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160.</w:t>
      </w:r>
      <w:r w:rsidR="00704A7C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Apelit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Tiranë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arriti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personat</w:t>
      </w:r>
      <w:r w:rsidR="007933E9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shpallur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penalisht,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rastësore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rikoshet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goditeshin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pandehurit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sjellje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pakujdesshme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viktimave;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tepër,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pritej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parashikonin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pasojat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</w:p>
    <w:p w14:paraId="783D87E1" w14:textId="08F74041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161.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asnjëherë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kërcënim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serioz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ruajtje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Giuliani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Gaggio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254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259;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Kakoulli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Turqisë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38595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/97,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120,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2005).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provuar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7933E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qëndruar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trotuarin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përtej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bulevardit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(përballë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godinës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</w:p>
    <w:p w14:paraId="6B92C663" w14:textId="1068C21A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162.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asgjë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paralajmërim,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përputhje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rithekson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përkufizimit,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paralajmëruese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bëhen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mbajtur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pothuajse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vertikal,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objektivi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Oğur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Turqisë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[GC]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21594/93,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83,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GJEDNJ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1999-III,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Kakoulli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118).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thelbësore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konkret,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numër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madh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personash,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pakujdesshëm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fatal</w:t>
      </w:r>
      <w:r w:rsidRPr="000D299E">
        <w:rPr>
          <w:rFonts w:ascii="Garamond" w:hAnsi="Garamond" w:cs="Arial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Rrjedhimisht,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vështirë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imagjinohet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kujdesshëm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goditur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kokë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viktimën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qëndronte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nivelin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rrugës,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madje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rikosheti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Oğur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83).</w:t>
      </w:r>
    </w:p>
    <w:p w14:paraId="78D1A358" w14:textId="6932C713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163.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Rrjedhimisht,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supozohet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7933E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vrarë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gjuajtur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gjuajtje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ekzekutuar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keq;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kujdes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minimizuar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rrezik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kalimtarëve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dhunshëm,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pakujdesi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83).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aktualisht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fuqi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Shqipëri,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gjuajtja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krejtësisht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metodë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shpërndarjen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90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</w:p>
    <w:p w14:paraId="1D747004" w14:textId="1AB13BAF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lastRenderedPageBreak/>
        <w:t>iii</w:t>
      </w:r>
      <w:r w:rsidR="00704A7C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organizimi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planifikimi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operacioneve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policore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përputhje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detyrimin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mbrojtur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jetën,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cili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lind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Konventës</w:t>
      </w:r>
    </w:p>
    <w:p w14:paraId="16FA0579" w14:textId="0DB342D8" w:rsidR="000C73AE" w:rsidRPr="000D299E" w:rsidRDefault="007933E9" w:rsidP="000C73AE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BB1419">
        <w:rPr>
          <w:rFonts w:ascii="Garamond" w:hAnsi="Garamond" w:cs="Times New Roman"/>
          <w:color w:val="000000"/>
          <w:sz w:val="24"/>
          <w:szCs w:val="24"/>
        </w:rPr>
        <w:t>α</w:t>
      </w:r>
      <w:r w:rsidR="000C73AE" w:rsidRPr="00BB1419">
        <w:rPr>
          <w:rFonts w:ascii="Garamond" w:hAnsi="Garamond" w:cs="Times New Roman"/>
          <w:color w:val="000000"/>
          <w:sz w:val="24"/>
          <w:szCs w:val="24"/>
        </w:rPr>
        <w:t>)</w:t>
      </w:r>
      <w:r w:rsidR="00BB1419" w:rsidRPr="00BB141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BB1419">
        <w:rPr>
          <w:rFonts w:ascii="Garamond" w:hAnsi="Garamond" w:cs="Times New Roman"/>
          <w:color w:val="000000"/>
          <w:sz w:val="24"/>
          <w:szCs w:val="24"/>
        </w:rPr>
        <w:t>Parime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</w:p>
    <w:p w14:paraId="10B0B965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164.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Giuliani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Gaggio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poshtë:</w:t>
      </w:r>
    </w:p>
    <w:p w14:paraId="66C50146" w14:textId="56484849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“</w:t>
      </w:r>
      <w:r w:rsidRPr="007933E9">
        <w:rPr>
          <w:rFonts w:ascii="Garamond" w:hAnsi="Garamond" w:cs="Times New Roman"/>
          <w:color w:val="000000"/>
          <w:sz w:val="20"/>
          <w:szCs w:val="20"/>
        </w:rPr>
        <w:t>248.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tepër,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përfshihet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përgjegjësia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vërtetohet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vdekja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ardhur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pasojë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moskryerjes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ana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autoriteteve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kombëtare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asaj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pritej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mënyrë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arsyeshme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prej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shmangur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rrezik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real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çastit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ndaj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cilin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kishin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kishin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dijeni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Osman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Pr="007933E9">
        <w:rPr>
          <w:rFonts w:ascii="Garamond" w:hAnsi="Garamond" w:cs="Times New Roman"/>
          <w:color w:val="000000"/>
          <w:sz w:val="20"/>
          <w:szCs w:val="20"/>
        </w:rPr>
        <w:t>116;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Mastromatteo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74;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Maiorano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109).</w:t>
      </w:r>
    </w:p>
    <w:p w14:paraId="2ECED35E" w14:textId="1C4B6D23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249.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Sipas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jurisprudencës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saj,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analizojë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planifikimin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kontrollin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operacioni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policor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rezulton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vdekjen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shumë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personave,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mënyrë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vlerësojë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nëse,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rrethanat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veçanta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çështjes,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autoritetet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kanë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treguar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kujdesin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siguruar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minimizimin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çdo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rreziku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ndaj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mos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qenë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pakujdesshëm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zgjedhjen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veprimit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tyre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McCann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194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201,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Andronicou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Constantinou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181).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Përdorimi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forcës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vdekjeprurëse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oficerët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policisë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justifikohet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rrethana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caktuara.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Megjithatë,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jep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carte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blanche</w:t>
      </w:r>
      <w:r w:rsidRPr="007933E9">
        <w:rPr>
          <w:rFonts w:ascii="Garamond" w:hAnsi="Garamond" w:cs="Times New Roman"/>
          <w:color w:val="000000"/>
          <w:sz w:val="20"/>
          <w:szCs w:val="20"/>
        </w:rPr>
        <w:t>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Veprimet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parregulluara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arbitrare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nga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punonjësit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janë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papajtueshme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respektimin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efektiv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drejtave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njeriut.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Kjo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thotë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operacionet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policore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rregullohen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mjaftueshëm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ligjin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kombëtar,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brenda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kuadrit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sistemi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masave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mbrojtëse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adekuate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efektive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kundër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arbitraritetit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abuzimit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forcës.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Prandaj,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marrë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parasysh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vetëm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veprimet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punonjësve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shtetit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administruan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forcën,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gjitha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rrethanat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përreth,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duke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përfshirë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çështje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tilla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planifikimi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kontrolli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veprimeve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shqyrtim.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Oficerët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policisë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nuk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lihen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vakum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gjatë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kryerjes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detyrave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tyre: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kuadër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ligjor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administrativ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përcaktojë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rrethanat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kufizuara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punonjësit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zbatimit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ligjit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mund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përdorin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forcën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armët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zjarrit,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dritën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standardeve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ndërkombëtare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që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janë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zhvilluar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këtë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drejtim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Makaratzis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58</w:t>
      </w:r>
      <w:r w:rsidR="00704A7C" w:rsidRPr="007933E9">
        <w:rPr>
          <w:rFonts w:ascii="Garamond" w:hAnsi="Garamond"/>
          <w:i/>
          <w:iCs/>
          <w:sz w:val="20"/>
          <w:szCs w:val="20"/>
        </w:rPr>
        <w:t>–</w:t>
      </w:r>
      <w:r w:rsidRPr="007933E9">
        <w:rPr>
          <w:rFonts w:ascii="Garamond" w:hAnsi="Garamond" w:cs="Times New Roman"/>
          <w:color w:val="000000"/>
          <w:sz w:val="20"/>
          <w:szCs w:val="20"/>
        </w:rPr>
        <w:t>59).</w:t>
      </w:r>
    </w:p>
    <w:p w14:paraId="4F8F7711" w14:textId="43FEE0C0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250.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veçanti,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punonjësit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zbatimit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ligjit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trajnohen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vlerësuar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ekziston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apo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domosdoshmëria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absolute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përdorur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armë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zjarri,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vetëm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bazuar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rregulloret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përkatëse,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por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edhe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duke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marrë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parasysh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epërsinë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respektimit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jetës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njeriut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vlerë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themelore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(shihni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Nachova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97;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shihni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gjithashtu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kritikën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ndaj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udhëzimeve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“qëlloni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vrarë”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dhënë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ushtarëve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McCann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dhe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i/>
          <w:iCs/>
          <w:color w:val="000000"/>
          <w:sz w:val="20"/>
          <w:szCs w:val="20"/>
        </w:rPr>
        <w:t>tjerët</w:t>
      </w:r>
      <w:r w:rsidRPr="007933E9">
        <w:rPr>
          <w:rFonts w:ascii="Garamond" w:hAnsi="Garamond" w:cs="Times New Roman"/>
          <w:color w:val="000000"/>
          <w:sz w:val="20"/>
          <w:szCs w:val="20"/>
        </w:rPr>
        <w:t>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cituar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23E3E" w:rsidRPr="007933E9">
        <w:rPr>
          <w:rFonts w:ascii="Times New Roman" w:hAnsi="Times New Roman" w:cs="Times New Roman"/>
          <w:color w:val="000000"/>
          <w:sz w:val="20"/>
          <w:szCs w:val="20"/>
        </w:rPr>
        <w:t>§§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211</w:t>
      </w:r>
      <w:r w:rsidR="00704A7C" w:rsidRPr="007933E9">
        <w:rPr>
          <w:rFonts w:ascii="Garamond" w:hAnsi="Garamond"/>
          <w:i/>
          <w:iCs/>
          <w:sz w:val="20"/>
          <w:szCs w:val="20"/>
        </w:rPr>
        <w:t>–</w:t>
      </w:r>
      <w:r w:rsidRPr="007933E9">
        <w:rPr>
          <w:rFonts w:ascii="Garamond" w:hAnsi="Garamond" w:cs="Times New Roman"/>
          <w:color w:val="000000"/>
          <w:sz w:val="20"/>
          <w:szCs w:val="20"/>
        </w:rPr>
        <w:t>214).”</w:t>
      </w:r>
      <w:r w:rsidR="00BC6060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4DD7B0AD" w14:textId="7F5AD47C" w:rsidR="000C73AE" w:rsidRPr="000D299E" w:rsidRDefault="007933E9" w:rsidP="000C73AE">
      <w:pPr>
        <w:tabs>
          <w:tab w:val="left" w:pos="13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F4100B">
        <w:rPr>
          <w:rFonts w:ascii="Garamond" w:hAnsi="Garamond" w:cs="Times New Roman"/>
          <w:color w:val="000000"/>
          <w:sz w:val="24"/>
          <w:szCs w:val="24"/>
        </w:rPr>
        <w:t>β</w:t>
      </w:r>
      <w:r w:rsidR="000C73AE" w:rsidRPr="00F4100B">
        <w:rPr>
          <w:rFonts w:ascii="Garamond" w:hAnsi="Garamond" w:cs="Times New Roman"/>
          <w:color w:val="000000"/>
          <w:sz w:val="24"/>
          <w:szCs w:val="24"/>
        </w:rPr>
        <w:t>)</w:t>
      </w:r>
      <w:r w:rsidR="00F4100B" w:rsidRPr="00F4100B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F4100B">
        <w:rPr>
          <w:rFonts w:ascii="Garamond" w:hAnsi="Garamond" w:cs="Times New Roman"/>
          <w:color w:val="000000"/>
          <w:sz w:val="24"/>
          <w:szCs w:val="24"/>
        </w:rPr>
        <w:t>Zbatimi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këtyre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parimeve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çështjen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C73AE" w:rsidRPr="000D299E">
        <w:rPr>
          <w:rFonts w:ascii="Garamond" w:hAnsi="Garamond" w:cs="Times New Roman"/>
          <w:color w:val="000000"/>
          <w:sz w:val="24"/>
          <w:szCs w:val="24"/>
        </w:rPr>
        <w:t>fjalë</w:t>
      </w:r>
    </w:p>
    <w:p w14:paraId="66A1AD18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165.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trajnimit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paraprak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qeveria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udhëzime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posaçme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demonstratave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informuar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specifike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kryenin.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kontestohet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kërkueset.</w:t>
      </w:r>
    </w:p>
    <w:p w14:paraId="637A6029" w14:textId="50DCAEAA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166.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fazës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planifikimit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operacionit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pikëpamja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kushtojë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vëmendje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veçantë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kontekstit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zhvillua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operacioni,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zhvillua.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planifikuar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njoftimi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organizimin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pikat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grumbullimit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itinerarin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dorëzuar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Kështu,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operacion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paplanifikuar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spontan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Michalikashvili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Gjeorgjisë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32245/19,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101,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2023;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Makaratzis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69),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mjaftueshme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përgatitur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protestën.</w:t>
      </w:r>
    </w:p>
    <w:p w14:paraId="68C7FB0E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167.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formuluar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Megjithatë,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udhëzime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pakta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mundësinë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domethënë,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gatishmëri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thyerjes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kordonëve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krijuar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Njësia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Njësia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udhëzime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sakta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specifike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koordinim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adekuat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paraprak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faktorë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midis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policisë.</w:t>
      </w:r>
    </w:p>
    <w:p w14:paraId="5AF73315" w14:textId="3D258BB2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168.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disponueshmërisë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dhunshëm,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dispozicion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gazi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lotsjellës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top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uji.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pamjaftueshme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shpërndahej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potencialisht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shpërnda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vazhdoi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sulm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karakterizuar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shkallë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caktuar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gazit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lotsjellës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pafuqishëm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kordonin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perimetrin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Kryeministrisë,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shkak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pajisje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mjaftueshme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kimike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maskave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gazit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lotsjellës),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lënduar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04A7C" w:rsidRPr="000D299E">
        <w:rPr>
          <w:rFonts w:ascii="Garamond" w:hAnsi="Garamond" w:cs="Times New Roman"/>
          <w:color w:val="000000"/>
          <w:sz w:val="24"/>
          <w:szCs w:val="24"/>
        </w:rPr>
        <w:t>përballje</w:t>
      </w:r>
      <w:r w:rsidR="00704A7C">
        <w:rPr>
          <w:rFonts w:ascii="Garamond" w:hAnsi="Garamond" w:cs="Times New Roman"/>
          <w:color w:val="000000"/>
          <w:sz w:val="24"/>
          <w:szCs w:val="24"/>
        </w:rPr>
        <w:t>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protestuesit.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rezultat,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njësitë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policisë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tërhoqën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ndërtesës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kthyen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pozicionet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njësitë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armatosura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mbetën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trajtuar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afërsi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grupi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dhunshëm.</w:t>
      </w:r>
    </w:p>
    <w:p w14:paraId="586F9527" w14:textId="646D00A1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169.</w:t>
      </w:r>
      <w:r w:rsidR="00704A7C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7933E9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udhëzim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saktë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jepte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plumba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absolutisht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nevojshëm.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vepruar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nismën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marrë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qëlluar;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vërtetë,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vetvete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kaotike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Mungesa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zinxhiri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natyra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rrezikun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disa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qëllonin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çrregullt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(krahasoni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sz w:val="24"/>
          <w:szCs w:val="24"/>
        </w:rPr>
        <w:t>Makaratzis</w:t>
      </w:r>
      <w:r w:rsidRPr="000D299E">
        <w:rPr>
          <w:rFonts w:ascii="Garamond" w:hAnsi="Garamond" w:cs="Times New Roman"/>
          <w:sz w:val="24"/>
          <w:szCs w:val="24"/>
        </w:rPr>
        <w:t>,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cituar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lart,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sz w:val="24"/>
          <w:szCs w:val="24"/>
        </w:rPr>
        <w:t>68).</w:t>
      </w:r>
      <w:r w:rsidR="004328D9" w:rsidRPr="000D299E">
        <w:rPr>
          <w:rFonts w:ascii="Garamond" w:hAnsi="Garamond" w:cs="Times New Roman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Mundësia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komandantët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terren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urdhrat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situatë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paqëndrueshme,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pohohet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proceseve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kombëtare,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pyetje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mjaftueshmërinë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planifikimit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trajtimin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drejtpërdrejtë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operacioneve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–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përfshirë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potencialisht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vdekjeprurëse.</w:t>
      </w:r>
    </w:p>
    <w:p w14:paraId="4BB9E1EB" w14:textId="44BE1FF1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170.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gjithashtu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përmendte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mënyrë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shprehur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qëllonin,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“masa”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ndërmerreshin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“në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përputhje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ligjin”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15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paqartë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pasaktë</w:t>
      </w:r>
      <w:r w:rsidR="007933E9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konsiderohej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përbënte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paralajmërim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potencialisht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vdekjeprurëse.</w:t>
      </w:r>
    </w:p>
    <w:p w14:paraId="351CCBAA" w14:textId="555EBB27" w:rsidR="000C73AE" w:rsidRPr="000D299E" w:rsidRDefault="000C73AE" w:rsidP="000C73AE">
      <w:pPr>
        <w:tabs>
          <w:tab w:val="left" w:pos="1060"/>
          <w:tab w:val="left" w:pos="1120"/>
          <w:tab w:val="left" w:pos="1180"/>
          <w:tab w:val="left" w:pos="1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i/>
          <w:iCs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iv</w:t>
      </w:r>
      <w:r w:rsidR="00704A7C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.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Konkluzion</w:t>
      </w:r>
    </w:p>
    <w:p w14:paraId="2CBE03B0" w14:textId="2277090C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171.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parasysh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paraqitur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sipër,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afërmit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</w:t>
      </w:r>
      <w:r w:rsidR="007933E9">
        <w:rPr>
          <w:rFonts w:ascii="Garamond" w:hAnsi="Garamond" w:cs="Times New Roman"/>
          <w:color w:val="000000"/>
          <w:sz w:val="24"/>
          <w:szCs w:val="24"/>
        </w:rPr>
        <w:t>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përputhje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rrepta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mangësi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kuadrin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potencialisht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lidhje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operacionet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përgjithësi,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probleme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planifikimin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kontrollin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ngjarjes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shqyrtim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dështimin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oficerët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rezultoi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anëtarit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familjes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absolutisht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nevojshëm,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parasysh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rrethanat.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fakt,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66B1E" w:rsidRPr="000D299E">
        <w:rPr>
          <w:rFonts w:ascii="Garamond" w:hAnsi="Garamond" w:cs="Times New Roman"/>
          <w:color w:val="000000"/>
          <w:sz w:val="24"/>
          <w:szCs w:val="24"/>
        </w:rPr>
        <w:t xml:space="preserve">qeveria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paditur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ishte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joproporcional.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aspekti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material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Konventës.</w:t>
      </w:r>
    </w:p>
    <w:p w14:paraId="10A042FE" w14:textId="0E49E619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II.</w:t>
      </w:r>
      <w:r w:rsidR="00704A7C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41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KONVENTËS</w:t>
      </w:r>
    </w:p>
    <w:p w14:paraId="6F36CBC2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172.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lexon:</w:t>
      </w:r>
    </w:p>
    <w:p w14:paraId="2433C83D" w14:textId="77777777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“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konstaton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pasur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shkelje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Konventës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ose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protokolleve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saj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dhe,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drejta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brendshme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Palës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Kontraktuese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lejon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bëhet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vetëm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një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ndreqje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pjesshme,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Gjykata,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është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nevojshme,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akordon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shpërblim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drejtë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palës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dëmtuar”.</w:t>
      </w:r>
    </w:p>
    <w:p w14:paraId="7195A240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173.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Kërkueset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parashtruan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pretendim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shpërblim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drejtë.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Prandaj,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nuk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kërkohet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jepet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ndonjë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qëllim.</w:t>
      </w:r>
    </w:p>
    <w:p w14:paraId="147E6624" w14:textId="7F3BD605" w:rsidR="000C73AE" w:rsidRPr="000D299E" w:rsidRDefault="000C73AE" w:rsidP="000C73AE">
      <w:pPr>
        <w:tabs>
          <w:tab w:val="left" w:pos="440"/>
          <w:tab w:val="left" w:pos="520"/>
          <w:tab w:val="left" w:pos="620"/>
          <w:tab w:val="left" w:pos="700"/>
          <w:tab w:val="left" w:pos="7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III.</w:t>
      </w:r>
      <w:r w:rsidR="00704A7C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Zbatimi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46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Konventës</w:t>
      </w:r>
    </w:p>
    <w:p w14:paraId="50213457" w14:textId="76B197CD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174.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lexon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poshtë</w:t>
      </w:r>
      <w:r w:rsidR="007933E9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rëndësishme:</w:t>
      </w:r>
    </w:p>
    <w:p w14:paraId="24E1CF77" w14:textId="77777777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“1.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Palët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Larta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Kontraktuese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marrin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përsipër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respektojnë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vendimin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formës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prerë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çdo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çështje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ku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ato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janë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palë.</w:t>
      </w:r>
    </w:p>
    <w:p w14:paraId="05E0C440" w14:textId="718D2A0F" w:rsidR="000C73AE" w:rsidRPr="007933E9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7933E9">
        <w:rPr>
          <w:rFonts w:ascii="Garamond" w:hAnsi="Garamond" w:cs="Times New Roman"/>
          <w:color w:val="000000"/>
          <w:sz w:val="20"/>
          <w:szCs w:val="20"/>
        </w:rPr>
        <w:t>2.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Vendimi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formës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së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prerë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Gjykatës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përcillet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Komitetit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të</w:t>
      </w:r>
      <w:r w:rsidR="00106D5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Ministrave,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cili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mbikëqyr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ekzekutimin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e</w:t>
      </w:r>
      <w:r w:rsidR="004328D9" w:rsidRPr="007933E9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7933E9">
        <w:rPr>
          <w:rFonts w:ascii="Garamond" w:hAnsi="Garamond" w:cs="Times New Roman"/>
          <w:color w:val="000000"/>
          <w:sz w:val="20"/>
          <w:szCs w:val="20"/>
        </w:rPr>
        <w:t>tij.”</w:t>
      </w:r>
      <w:r w:rsidR="007933E9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1AD591AF" w14:textId="4F9362C8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175.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Kontraktuese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morën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përsipër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respektojnë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palë,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ekzekutimi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cilave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mbikëqyret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lastRenderedPageBreak/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Komiteti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Ministrave.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rrjedh,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inter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alia</w:t>
      </w:r>
      <w:r w:rsidRPr="000D299E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Protokolleve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paditur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paguajë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interesuarve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shpërblimit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drejtë,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zgjedhë,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mbikëqyrjes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Komiteti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Ministrave,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dhe/ose,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përshtatshme,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individuale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merren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korrigjuar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pasojat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shumë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Guðmundur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Andri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Ástráðsson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Islandës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[GC]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26374/18,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311,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dhjetor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referencat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aty).</w:t>
      </w:r>
    </w:p>
    <w:p w14:paraId="0E42B687" w14:textId="64B0CA86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176.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rithekson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thellësisht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natyrë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deklarative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përgjithësi,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takon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kryesisht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fjalë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zgjedhë,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objekt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mbikëqyrjes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Komiteti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Ministrave,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rregullimit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brendshëm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përmbushur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përputhje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përfundimet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nxjerra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Magnitskiy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Rusisë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32631/09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53799/12,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295,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gusht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2019).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raste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përjashtimore,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synimin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ndihmuar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33E9" w:rsidRPr="000D299E">
        <w:rPr>
          <w:rFonts w:ascii="Garamond" w:hAnsi="Garamond" w:cs="Times New Roman"/>
          <w:color w:val="000000"/>
          <w:sz w:val="24"/>
          <w:szCs w:val="24"/>
        </w:rPr>
        <w:t xml:space="preserve">shtetin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paditur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përmbushë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detyrimet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46,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përpiqet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tregojë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llojin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merret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t’i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dhënë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shkeljeje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konstatuar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296).</w:t>
      </w:r>
    </w:p>
    <w:p w14:paraId="30610540" w14:textId="027EAD18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177.</w:t>
      </w:r>
      <w:r w:rsidR="00C22262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ndryshuar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ndërkohë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armët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zjarrit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vetëm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atëherë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absolutisht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nevojshme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mbrojtur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jetën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shtënat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shpërndarjen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turmës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janë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ndaluara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90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zbatohen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pjesëtarët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Gardës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Republikës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paragrafin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92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lart).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Meqenëse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përdorimi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forcës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vdekjeprurëse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punonjësit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përkatëse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ngrenë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çështje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komplekse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ligjore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praktike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masash,</w:t>
      </w:r>
      <w:r w:rsidR="004328D9" w:rsidRPr="000D299E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abstenojë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fazë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formulimin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përgjithshme.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gjetjet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ndihmojnë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siguruar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ekzekutimin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këtij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vendimi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mbikëqyrjen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Ministrave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Savriddin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Dzhurayev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Rusisë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71386/10,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264,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GJEDNJ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(ekstrakte)).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takon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Komitetit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Ministrave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vlerësojë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efektivitetin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propozuara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nga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33E9">
        <w:rPr>
          <w:rFonts w:ascii="Garamond" w:hAnsi="Garamond" w:cs="Times New Roman"/>
          <w:color w:val="000000"/>
          <w:sz w:val="24"/>
          <w:szCs w:val="24"/>
        </w:rPr>
        <w:t>q</w:t>
      </w:r>
      <w:r w:rsidRPr="000D299E">
        <w:rPr>
          <w:rFonts w:ascii="Garamond" w:hAnsi="Garamond" w:cs="Times New Roman"/>
          <w:color w:val="000000"/>
          <w:sz w:val="24"/>
          <w:szCs w:val="24"/>
        </w:rPr>
        <w:t>everia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shqiptare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ndjekë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zbatimin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mëvonshëm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përputhje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kërkesat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(shihni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Lindheim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tjerët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kundër</w:t>
      </w:r>
      <w:r w:rsidR="004328D9"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Norvegjisë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13221/08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2139/10,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137,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qershor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2012).</w:t>
      </w:r>
    </w:p>
    <w:p w14:paraId="15134889" w14:textId="6C0BE31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178.</w:t>
      </w:r>
      <w:r w:rsidR="00C22262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C22262">
        <w:rPr>
          <w:rFonts w:ascii="Garamond" w:hAnsi="Garamond" w:cs="Times New Roman"/>
          <w:color w:val="000000"/>
          <w:sz w:val="24"/>
          <w:szCs w:val="24"/>
        </w:rPr>
        <w:t>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përket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masave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individuale,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vëren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hetimi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penal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ende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hapur.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Duke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pasur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parasysh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këtë,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konsideron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autoritetet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duhet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vazhdojnë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(për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aq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sa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kjo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mundur)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përpjekjet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tyre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që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synojnë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zbardhjen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rrethanave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vdekjes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A.</w:t>
      </w:r>
      <w:r w:rsidR="007933E9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N.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identifikimin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ndëshkimin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personave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përgjegjës,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aty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ku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përshtatshme.</w:t>
      </w:r>
    </w:p>
    <w:p w14:paraId="1FD272E8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aps/>
          <w:color w:val="000000"/>
          <w:sz w:val="24"/>
          <w:szCs w:val="24"/>
        </w:rPr>
      </w:pP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PËR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KËTO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ARSYE,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GJYKATA,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ap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aps/>
          <w:color w:val="000000"/>
          <w:sz w:val="24"/>
          <w:szCs w:val="24"/>
        </w:rPr>
        <w:t>UNANIMITET,</w:t>
      </w:r>
    </w:p>
    <w:p w14:paraId="678EFE87" w14:textId="35D50590" w:rsidR="000C73AE" w:rsidRPr="004F5588" w:rsidRDefault="000C73AE" w:rsidP="000C73AE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F5588">
        <w:rPr>
          <w:rFonts w:ascii="Garamond" w:hAnsi="Garamond" w:cs="Times New Roman"/>
          <w:i/>
          <w:iCs/>
          <w:color w:val="000000"/>
          <w:sz w:val="24"/>
          <w:szCs w:val="24"/>
        </w:rPr>
        <w:t>1.</w:t>
      </w:r>
      <w:r w:rsidR="00704A7C" w:rsidRPr="004F5588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i/>
          <w:iCs/>
          <w:color w:val="000000"/>
          <w:sz w:val="24"/>
          <w:szCs w:val="24"/>
        </w:rPr>
        <w:t>Bashkon</w:t>
      </w:r>
      <w:r w:rsidR="004328D9" w:rsidRPr="004F5588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themelin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kundërshtimin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933E9" w:rsidRPr="004F5588">
        <w:rPr>
          <w:rFonts w:ascii="Garamond" w:hAnsi="Garamond" w:cs="Times New Roman"/>
          <w:color w:val="000000"/>
          <w:sz w:val="24"/>
          <w:szCs w:val="24"/>
        </w:rPr>
        <w:t>q</w:t>
      </w:r>
      <w:r w:rsidRPr="004F5588">
        <w:rPr>
          <w:rFonts w:ascii="Garamond" w:hAnsi="Garamond" w:cs="Times New Roman"/>
          <w:color w:val="000000"/>
          <w:sz w:val="24"/>
          <w:szCs w:val="24"/>
        </w:rPr>
        <w:t>everisë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për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mosshterimin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e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mjeteve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brendshme,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i/>
          <w:iCs/>
          <w:color w:val="000000"/>
          <w:sz w:val="24"/>
          <w:szCs w:val="24"/>
        </w:rPr>
        <w:t>e</w:t>
      </w:r>
      <w:r w:rsidR="004328D9" w:rsidRPr="004F5588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i/>
          <w:iCs/>
          <w:color w:val="000000"/>
          <w:sz w:val="24"/>
          <w:szCs w:val="24"/>
        </w:rPr>
        <w:t>rrëzon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atë;</w:t>
      </w:r>
    </w:p>
    <w:p w14:paraId="73C76F7C" w14:textId="7C3886FA" w:rsidR="000C73AE" w:rsidRPr="000D299E" w:rsidRDefault="000C73AE" w:rsidP="000C73AE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4F5588">
        <w:rPr>
          <w:rFonts w:ascii="Garamond" w:hAnsi="Garamond" w:cs="Times New Roman"/>
          <w:i/>
          <w:iCs/>
          <w:color w:val="000000"/>
          <w:sz w:val="24"/>
          <w:szCs w:val="24"/>
        </w:rPr>
        <w:t>2.</w:t>
      </w:r>
      <w:r w:rsidR="00704A7C" w:rsidRPr="004F5588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i/>
          <w:iCs/>
          <w:color w:val="000000"/>
          <w:sz w:val="24"/>
          <w:szCs w:val="24"/>
        </w:rPr>
        <w:t>Shpall</w:t>
      </w:r>
      <w:r w:rsidR="004328D9" w:rsidRPr="004F558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4F5588">
        <w:rPr>
          <w:rFonts w:ascii="Garamond" w:hAnsi="Garamond" w:cs="Times New Roman"/>
          <w:color w:val="000000"/>
          <w:sz w:val="24"/>
          <w:szCs w:val="24"/>
        </w:rPr>
        <w:t>kërkesën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pranueshme;</w:t>
      </w:r>
    </w:p>
    <w:p w14:paraId="450CDE35" w14:textId="79280510" w:rsidR="000C73AE" w:rsidRPr="000D299E" w:rsidRDefault="000C73AE" w:rsidP="000C73AE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3.</w:t>
      </w:r>
      <w:r w:rsidR="00704A7C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Vendos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Konventës;</w:t>
      </w:r>
    </w:p>
    <w:p w14:paraId="19B58254" w14:textId="0E57EFB9" w:rsidR="000C73AE" w:rsidRPr="000D299E" w:rsidRDefault="000C73AE" w:rsidP="000C73AE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4.</w:t>
      </w:r>
      <w:r w:rsidR="00704A7C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i/>
          <w:iCs/>
          <w:color w:val="000000"/>
          <w:sz w:val="24"/>
          <w:szCs w:val="24"/>
        </w:rPr>
        <w:t>Vendos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është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shkelur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neni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6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i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Konventës.</w:t>
      </w:r>
    </w:p>
    <w:p w14:paraId="635599A5" w14:textId="0F571E84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Bërë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gjuhën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angleze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njoftuar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shkrim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më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14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nëntor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2023</w:t>
      </w:r>
      <w:r w:rsidR="00704A7C">
        <w:rPr>
          <w:rFonts w:ascii="Garamond" w:hAnsi="Garamond" w:cs="Times New Roman"/>
          <w:color w:val="000000"/>
          <w:sz w:val="24"/>
          <w:szCs w:val="24"/>
        </w:rPr>
        <w:t>,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sipas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Rregullit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77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23E3E" w:rsidRPr="00C74102">
        <w:rPr>
          <w:rFonts w:ascii="Times New Roman" w:hAnsi="Times New Roman" w:cs="Times New Roman"/>
          <w:color w:val="000000"/>
          <w:sz w:val="24"/>
          <w:szCs w:val="24"/>
        </w:rPr>
        <w:t>§§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2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dhe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3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të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Rregullores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së</w:t>
      </w:r>
      <w:r w:rsidR="004328D9" w:rsidRPr="000D299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color w:val="000000"/>
          <w:sz w:val="24"/>
          <w:szCs w:val="24"/>
        </w:rPr>
        <w:t>Gjykatës.</w:t>
      </w:r>
    </w:p>
    <w:p w14:paraId="65F43391" w14:textId="77777777" w:rsidR="000C73AE" w:rsidRPr="000D299E" w:rsidRDefault="000C73AE" w:rsidP="000C73AE">
      <w:pPr>
        <w:tabs>
          <w:tab w:val="center" w:pos="1400"/>
          <w:tab w:val="center" w:pos="59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646B3FB4" w14:textId="22CEE7B8" w:rsidR="000C73AE" w:rsidRPr="000D299E" w:rsidRDefault="000C73AE" w:rsidP="00B307DA">
      <w:pPr>
        <w:tabs>
          <w:tab w:val="center" w:pos="1400"/>
          <w:tab w:val="center" w:pos="59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b/>
          <w:color w:val="000000"/>
          <w:sz w:val="24"/>
          <w:szCs w:val="24"/>
        </w:rPr>
      </w:pPr>
      <w:r w:rsidRPr="000D299E">
        <w:rPr>
          <w:rFonts w:ascii="Garamond" w:hAnsi="Garamond" w:cs="Times New Roman"/>
          <w:b/>
          <w:color w:val="000000"/>
          <w:sz w:val="24"/>
          <w:szCs w:val="24"/>
        </w:rPr>
        <w:t>Milan</w:t>
      </w:r>
      <w:r w:rsidR="004328D9" w:rsidRPr="000D299E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color w:val="000000"/>
          <w:sz w:val="24"/>
          <w:szCs w:val="24"/>
        </w:rPr>
        <w:t>Blaško</w:t>
      </w:r>
      <w:r w:rsidRPr="000D299E">
        <w:rPr>
          <w:rFonts w:ascii="Garamond" w:hAnsi="Garamond" w:cs="Times New Roman"/>
          <w:b/>
          <w:color w:val="000000"/>
          <w:sz w:val="24"/>
          <w:szCs w:val="24"/>
        </w:rPr>
        <w:tab/>
      </w:r>
      <w:r w:rsidR="00B307DA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="00C17B99" w:rsidRPr="000D299E">
        <w:rPr>
          <w:rFonts w:ascii="Garamond" w:hAnsi="Garamond" w:cs="Times New Roman"/>
          <w:b/>
          <w:color w:val="000000"/>
          <w:sz w:val="24"/>
          <w:szCs w:val="24"/>
        </w:rPr>
        <w:t xml:space="preserve">Pere </w:t>
      </w:r>
      <w:r w:rsidRPr="000D299E">
        <w:rPr>
          <w:rFonts w:ascii="Garamond" w:hAnsi="Garamond" w:cs="Times New Roman"/>
          <w:b/>
          <w:color w:val="000000"/>
          <w:sz w:val="24"/>
          <w:szCs w:val="24"/>
        </w:rPr>
        <w:t>Pastor</w:t>
      </w:r>
      <w:r w:rsidR="004328D9" w:rsidRPr="000D299E">
        <w:rPr>
          <w:rFonts w:ascii="Garamond" w:hAnsi="Garamond" w:cs="Times New Roman"/>
          <w:b/>
          <w:color w:val="000000"/>
          <w:sz w:val="24"/>
          <w:szCs w:val="24"/>
        </w:rPr>
        <w:t xml:space="preserve"> </w:t>
      </w:r>
      <w:r w:rsidRPr="000D299E">
        <w:rPr>
          <w:rFonts w:ascii="Garamond" w:hAnsi="Garamond" w:cs="Times New Roman"/>
          <w:b/>
          <w:color w:val="000000"/>
          <w:sz w:val="24"/>
          <w:szCs w:val="24"/>
        </w:rPr>
        <w:t>Vilanova</w:t>
      </w:r>
    </w:p>
    <w:p w14:paraId="0177CA2A" w14:textId="3F50782B" w:rsidR="000C73AE" w:rsidRPr="000D299E" w:rsidRDefault="00B307DA" w:rsidP="000C73AE">
      <w:pPr>
        <w:tabs>
          <w:tab w:val="center" w:pos="1400"/>
          <w:tab w:val="center" w:pos="59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0D299E">
        <w:rPr>
          <w:rFonts w:ascii="Garamond" w:hAnsi="Garamond" w:cs="Times New Roman"/>
          <w:color w:val="000000"/>
          <w:sz w:val="24"/>
          <w:szCs w:val="24"/>
        </w:rPr>
        <w:t>KANCELAR</w:t>
      </w:r>
      <w:r w:rsidRPr="000D299E">
        <w:rPr>
          <w:rFonts w:ascii="Garamond" w:hAnsi="Garamond" w:cs="Times New Roman"/>
          <w:color w:val="000000"/>
          <w:sz w:val="24"/>
          <w:szCs w:val="24"/>
        </w:rPr>
        <w:tab/>
        <w:t>PRESIDENT</w:t>
      </w:r>
    </w:p>
    <w:p w14:paraId="6B9364B4" w14:textId="5E435A18" w:rsidR="000C73A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58E43710" w14:textId="462153AD" w:rsidR="00656AAD" w:rsidRDefault="00656AAD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0793FF26" w14:textId="77777777" w:rsidR="00656AAD" w:rsidRPr="000D299E" w:rsidRDefault="00656AAD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108B371E" w14:textId="77777777" w:rsidR="003344FB" w:rsidRPr="000D299E" w:rsidRDefault="003344FB" w:rsidP="003344FB">
      <w:pPr>
        <w:pStyle w:val="DecHTitle"/>
        <w:spacing w:after="0"/>
        <w:ind w:firstLine="0"/>
        <w:rPr>
          <w:rFonts w:ascii="Garamond" w:hAnsi="Garamond"/>
          <w:sz w:val="24"/>
          <w:szCs w:val="24"/>
        </w:rPr>
      </w:pPr>
      <w:r w:rsidRPr="000D299E">
        <w:rPr>
          <w:rFonts w:ascii="Garamond" w:hAnsi="Garamond"/>
          <w:sz w:val="24"/>
          <w:szCs w:val="24"/>
        </w:rPr>
        <w:lastRenderedPageBreak/>
        <w:t>SHTOJCË</w:t>
      </w:r>
    </w:p>
    <w:p w14:paraId="47CE444D" w14:textId="77777777" w:rsidR="003344FB" w:rsidRPr="00EE160A" w:rsidRDefault="003344FB" w:rsidP="003344FB">
      <w:pPr>
        <w:pStyle w:val="DecHCase"/>
        <w:keepNext w:val="0"/>
        <w:keepLines w:val="0"/>
        <w:spacing w:after="0"/>
        <w:ind w:firstLine="0"/>
        <w:jc w:val="left"/>
        <w:outlineLvl w:val="0"/>
        <w:rPr>
          <w:rFonts w:ascii="Garamond" w:hAnsi="Garamond"/>
          <w:b/>
        </w:rPr>
      </w:pPr>
      <w:r w:rsidRPr="00EE160A">
        <w:rPr>
          <w:rFonts w:ascii="Garamond" w:hAnsi="Garamond"/>
          <w:b/>
        </w:rPr>
        <w:t>Lista</w:t>
      </w:r>
      <w:r w:rsidR="004328D9" w:rsidRPr="00EE160A">
        <w:rPr>
          <w:rFonts w:ascii="Garamond" w:hAnsi="Garamond"/>
          <w:b/>
        </w:rPr>
        <w:t xml:space="preserve"> </w:t>
      </w:r>
      <w:r w:rsidRPr="00EE160A">
        <w:rPr>
          <w:rFonts w:ascii="Garamond" w:hAnsi="Garamond"/>
          <w:b/>
        </w:rPr>
        <w:t>e</w:t>
      </w:r>
      <w:r w:rsidR="004328D9" w:rsidRPr="00EE160A">
        <w:rPr>
          <w:rFonts w:ascii="Garamond" w:hAnsi="Garamond"/>
          <w:b/>
        </w:rPr>
        <w:t xml:space="preserve"> </w:t>
      </w:r>
      <w:r w:rsidRPr="00EE160A">
        <w:rPr>
          <w:rFonts w:ascii="Garamond" w:hAnsi="Garamond"/>
          <w:b/>
        </w:rPr>
        <w:t>kërkuesve:</w:t>
      </w:r>
    </w:p>
    <w:p w14:paraId="4F1F25F9" w14:textId="77777777" w:rsidR="003344FB" w:rsidRPr="00EE160A" w:rsidRDefault="003344FB" w:rsidP="003344FB">
      <w:pPr>
        <w:pStyle w:val="JuPara"/>
        <w:ind w:firstLine="0"/>
        <w:outlineLvl w:val="0"/>
        <w:rPr>
          <w:rFonts w:ascii="Garamond" w:eastAsia="Times New Roman" w:hAnsi="Garamond"/>
          <w:b/>
        </w:rPr>
      </w:pPr>
      <w:r w:rsidRPr="00EE160A">
        <w:rPr>
          <w:rFonts w:ascii="Garamond" w:hAnsi="Garamond"/>
          <w:b/>
        </w:rPr>
        <w:t>Kërkesa</w:t>
      </w:r>
      <w:r w:rsidR="004328D9" w:rsidRPr="00EE160A">
        <w:rPr>
          <w:rFonts w:ascii="Garamond" w:hAnsi="Garamond"/>
          <w:b/>
        </w:rPr>
        <w:t xml:space="preserve"> </w:t>
      </w:r>
      <w:r w:rsidRPr="00EE160A">
        <w:rPr>
          <w:rFonts w:ascii="Garamond" w:hAnsi="Garamond"/>
          <w:b/>
        </w:rPr>
        <w:t>nr.</w:t>
      </w:r>
      <w:r w:rsidR="004328D9" w:rsidRPr="00EE160A">
        <w:rPr>
          <w:rFonts w:ascii="Garamond" w:hAnsi="Garamond"/>
          <w:b/>
        </w:rPr>
        <w:t xml:space="preserve"> </w:t>
      </w:r>
      <w:r w:rsidRPr="00EE160A">
        <w:rPr>
          <w:rFonts w:ascii="Garamond" w:hAnsi="Garamond"/>
          <w:b/>
        </w:rPr>
        <w:t>1049/17</w:t>
      </w:r>
    </w:p>
    <w:tbl>
      <w:tblPr>
        <w:tblStyle w:val="ECHRListTable"/>
        <w:tblW w:w="5000" w:type="pct"/>
        <w:tblLayout w:type="fixed"/>
        <w:tblLook w:val="0420" w:firstRow="1" w:lastRow="0" w:firstColumn="0" w:lastColumn="0" w:noHBand="0" w:noVBand="1"/>
      </w:tblPr>
      <w:tblGrid>
        <w:gridCol w:w="729"/>
        <w:gridCol w:w="2689"/>
        <w:gridCol w:w="1958"/>
        <w:gridCol w:w="1603"/>
        <w:gridCol w:w="2371"/>
      </w:tblGrid>
      <w:tr w:rsidR="003344FB" w:rsidRPr="000D299E" w14:paraId="431F7AAD" w14:textId="0A7F4531" w:rsidTr="00704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0" w:type="pct"/>
            <w:vAlign w:val="center"/>
          </w:tcPr>
          <w:p w14:paraId="1893770D" w14:textId="4F8E1CE0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Nr.</w:t>
            </w:r>
          </w:p>
        </w:tc>
        <w:tc>
          <w:tcPr>
            <w:tcW w:w="1438" w:type="pct"/>
            <w:vAlign w:val="center"/>
          </w:tcPr>
          <w:p w14:paraId="6C4AF2F4" w14:textId="19F6A06F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Emri</w:t>
            </w:r>
            <w:r w:rsidR="004328D9" w:rsidRPr="000D299E">
              <w:rPr>
                <w:rFonts w:ascii="Garamond" w:hAnsi="Garamond"/>
              </w:rPr>
              <w:t xml:space="preserve"> </w:t>
            </w:r>
            <w:r w:rsidRPr="000D299E">
              <w:rPr>
                <w:rFonts w:ascii="Garamond" w:hAnsi="Garamond"/>
              </w:rPr>
              <w:t>i</w:t>
            </w:r>
            <w:r w:rsidR="004328D9" w:rsidRPr="000D299E">
              <w:rPr>
                <w:rFonts w:ascii="Garamond" w:hAnsi="Garamond"/>
              </w:rPr>
              <w:t xml:space="preserve"> </w:t>
            </w:r>
            <w:r w:rsidRPr="000D299E">
              <w:rPr>
                <w:rFonts w:ascii="Garamond" w:hAnsi="Garamond"/>
              </w:rPr>
              <w:t>kërkueses</w:t>
            </w:r>
          </w:p>
        </w:tc>
        <w:tc>
          <w:tcPr>
            <w:tcW w:w="1047" w:type="pct"/>
            <w:vAlign w:val="center"/>
          </w:tcPr>
          <w:p w14:paraId="1257748D" w14:textId="25757ABF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Viti</w:t>
            </w:r>
            <w:r w:rsidR="004328D9" w:rsidRPr="000D299E">
              <w:rPr>
                <w:rFonts w:ascii="Garamond" w:hAnsi="Garamond"/>
              </w:rPr>
              <w:t xml:space="preserve"> </w:t>
            </w:r>
            <w:r w:rsidRPr="000D299E">
              <w:rPr>
                <w:rFonts w:ascii="Garamond" w:hAnsi="Garamond"/>
              </w:rPr>
              <w:t>i</w:t>
            </w:r>
            <w:r w:rsidR="004328D9" w:rsidRPr="000D299E">
              <w:rPr>
                <w:rFonts w:ascii="Garamond" w:hAnsi="Garamond"/>
              </w:rPr>
              <w:t xml:space="preserve"> </w:t>
            </w:r>
            <w:r w:rsidRPr="000D299E">
              <w:rPr>
                <w:rFonts w:ascii="Garamond" w:hAnsi="Garamond"/>
              </w:rPr>
              <w:t>lindjes</w:t>
            </w:r>
          </w:p>
        </w:tc>
        <w:tc>
          <w:tcPr>
            <w:tcW w:w="857" w:type="pct"/>
            <w:vAlign w:val="center"/>
          </w:tcPr>
          <w:p w14:paraId="401F0D14" w14:textId="26F2C29C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Shtetësia</w:t>
            </w:r>
          </w:p>
        </w:tc>
        <w:tc>
          <w:tcPr>
            <w:tcW w:w="1268" w:type="pct"/>
            <w:vAlign w:val="center"/>
          </w:tcPr>
          <w:p w14:paraId="02459987" w14:textId="4A20B09D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Vendbanimi</w:t>
            </w:r>
          </w:p>
        </w:tc>
      </w:tr>
      <w:tr w:rsidR="003344FB" w:rsidRPr="000D299E" w14:paraId="5C2DA45D" w14:textId="63245DFC" w:rsidTr="00704A7C">
        <w:tc>
          <w:tcPr>
            <w:tcW w:w="390" w:type="pct"/>
            <w:vAlign w:val="center"/>
          </w:tcPr>
          <w:p w14:paraId="29B22641" w14:textId="05367C6B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1</w:t>
            </w:r>
          </w:p>
        </w:tc>
        <w:tc>
          <w:tcPr>
            <w:tcW w:w="1438" w:type="pct"/>
            <w:vAlign w:val="center"/>
          </w:tcPr>
          <w:p w14:paraId="32724935" w14:textId="164FCF9E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Rajmonda</w:t>
            </w:r>
            <w:r w:rsidR="004328D9" w:rsidRPr="000D299E">
              <w:rPr>
                <w:rFonts w:ascii="Garamond" w:hAnsi="Garamond"/>
              </w:rPr>
              <w:t xml:space="preserve"> </w:t>
            </w:r>
            <w:r w:rsidRPr="000D299E">
              <w:rPr>
                <w:rFonts w:ascii="Garamond" w:hAnsi="Garamond"/>
              </w:rPr>
              <w:t>NIKA</w:t>
            </w:r>
          </w:p>
        </w:tc>
        <w:tc>
          <w:tcPr>
            <w:tcW w:w="1047" w:type="pct"/>
            <w:vAlign w:val="center"/>
          </w:tcPr>
          <w:p w14:paraId="656F3591" w14:textId="0EDCA376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1984</w:t>
            </w:r>
          </w:p>
        </w:tc>
        <w:tc>
          <w:tcPr>
            <w:tcW w:w="857" w:type="pct"/>
            <w:vAlign w:val="center"/>
          </w:tcPr>
          <w:p w14:paraId="7666E82B" w14:textId="4177AF26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Shqiptare</w:t>
            </w:r>
          </w:p>
        </w:tc>
        <w:tc>
          <w:tcPr>
            <w:tcW w:w="1268" w:type="pct"/>
            <w:vAlign w:val="center"/>
          </w:tcPr>
          <w:p w14:paraId="64E5BA6C" w14:textId="27871102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Lezhë</w:t>
            </w:r>
          </w:p>
        </w:tc>
      </w:tr>
      <w:tr w:rsidR="003344FB" w:rsidRPr="000D299E" w14:paraId="0D32B042" w14:textId="03A44928" w:rsidTr="00704A7C">
        <w:tc>
          <w:tcPr>
            <w:tcW w:w="390" w:type="pct"/>
            <w:vAlign w:val="center"/>
          </w:tcPr>
          <w:p w14:paraId="5E076989" w14:textId="50972553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2</w:t>
            </w:r>
          </w:p>
        </w:tc>
        <w:tc>
          <w:tcPr>
            <w:tcW w:w="1438" w:type="pct"/>
            <w:vAlign w:val="center"/>
          </w:tcPr>
          <w:p w14:paraId="5D68A03C" w14:textId="517FB7EB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Amelia</w:t>
            </w:r>
            <w:r w:rsidR="004328D9" w:rsidRPr="000D299E">
              <w:rPr>
                <w:rFonts w:ascii="Garamond" w:hAnsi="Garamond"/>
              </w:rPr>
              <w:t xml:space="preserve"> </w:t>
            </w:r>
            <w:r w:rsidRPr="000D299E">
              <w:rPr>
                <w:rFonts w:ascii="Garamond" w:hAnsi="Garamond"/>
              </w:rPr>
              <w:t>NIKA</w:t>
            </w:r>
          </w:p>
        </w:tc>
        <w:tc>
          <w:tcPr>
            <w:tcW w:w="1047" w:type="pct"/>
            <w:vAlign w:val="center"/>
          </w:tcPr>
          <w:p w14:paraId="11D7F41E" w14:textId="2BBF9940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2009</w:t>
            </w:r>
          </w:p>
        </w:tc>
        <w:tc>
          <w:tcPr>
            <w:tcW w:w="857" w:type="pct"/>
            <w:vAlign w:val="center"/>
          </w:tcPr>
          <w:p w14:paraId="24BCDFF8" w14:textId="7066EEC9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Shqiptare</w:t>
            </w:r>
          </w:p>
        </w:tc>
        <w:tc>
          <w:tcPr>
            <w:tcW w:w="1268" w:type="pct"/>
            <w:vAlign w:val="center"/>
          </w:tcPr>
          <w:p w14:paraId="7CE8E1FD" w14:textId="37E37A40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Lezhë</w:t>
            </w:r>
          </w:p>
        </w:tc>
      </w:tr>
      <w:tr w:rsidR="003344FB" w:rsidRPr="000D299E" w14:paraId="7BE7BFD3" w14:textId="2CD5AC03" w:rsidTr="00704A7C">
        <w:tc>
          <w:tcPr>
            <w:tcW w:w="390" w:type="pct"/>
            <w:vAlign w:val="center"/>
          </w:tcPr>
          <w:p w14:paraId="6CA08580" w14:textId="1C34C2DD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3</w:t>
            </w:r>
          </w:p>
        </w:tc>
        <w:tc>
          <w:tcPr>
            <w:tcW w:w="1438" w:type="pct"/>
            <w:vAlign w:val="center"/>
          </w:tcPr>
          <w:p w14:paraId="652E822C" w14:textId="2F244E9C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Mentila</w:t>
            </w:r>
            <w:r w:rsidR="004328D9" w:rsidRPr="000D299E">
              <w:rPr>
                <w:rFonts w:ascii="Garamond" w:hAnsi="Garamond"/>
              </w:rPr>
              <w:t xml:space="preserve"> </w:t>
            </w:r>
            <w:r w:rsidRPr="000D299E">
              <w:rPr>
                <w:rFonts w:ascii="Garamond" w:hAnsi="Garamond"/>
              </w:rPr>
              <w:t>NIKA</w:t>
            </w:r>
          </w:p>
        </w:tc>
        <w:tc>
          <w:tcPr>
            <w:tcW w:w="1047" w:type="pct"/>
            <w:vAlign w:val="center"/>
          </w:tcPr>
          <w:p w14:paraId="4444C9CB" w14:textId="1EE8849A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2010</w:t>
            </w:r>
          </w:p>
        </w:tc>
        <w:tc>
          <w:tcPr>
            <w:tcW w:w="857" w:type="pct"/>
            <w:vAlign w:val="center"/>
          </w:tcPr>
          <w:p w14:paraId="1DFE5B99" w14:textId="5933B7D3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Shqiptare</w:t>
            </w:r>
          </w:p>
        </w:tc>
        <w:tc>
          <w:tcPr>
            <w:tcW w:w="1268" w:type="pct"/>
            <w:vAlign w:val="center"/>
          </w:tcPr>
          <w:p w14:paraId="420CB0CF" w14:textId="301FF61D" w:rsidR="003344FB" w:rsidRPr="000D299E" w:rsidRDefault="003344FB" w:rsidP="00704A7C">
            <w:pPr>
              <w:jc w:val="center"/>
              <w:rPr>
                <w:rFonts w:ascii="Garamond" w:eastAsia="Times New Roman" w:hAnsi="Garamond"/>
              </w:rPr>
            </w:pPr>
            <w:r w:rsidRPr="000D299E">
              <w:rPr>
                <w:rFonts w:ascii="Garamond" w:hAnsi="Garamond"/>
              </w:rPr>
              <w:t>Lezhë</w:t>
            </w:r>
          </w:p>
        </w:tc>
      </w:tr>
    </w:tbl>
    <w:p w14:paraId="06C10598" w14:textId="77777777" w:rsidR="003344FB" w:rsidRPr="000D299E" w:rsidRDefault="003344FB" w:rsidP="003344FB"/>
    <w:p w14:paraId="36004ADF" w14:textId="77777777" w:rsidR="000C73AE" w:rsidRPr="000D299E" w:rsidRDefault="000C73AE" w:rsidP="000C73A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44451EC2" w14:textId="77777777" w:rsidR="003C3138" w:rsidRPr="000D299E" w:rsidRDefault="003C3138" w:rsidP="000C73AE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</w:p>
    <w:p w14:paraId="77F56734" w14:textId="77777777" w:rsidR="00C17A79" w:rsidRPr="000D299E" w:rsidRDefault="00C17A79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</w:p>
    <w:sectPr w:rsidR="00C17A79" w:rsidRPr="000D299E" w:rsidSect="000D299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AE"/>
    <w:rsid w:val="00024785"/>
    <w:rsid w:val="00090827"/>
    <w:rsid w:val="000B6756"/>
    <w:rsid w:val="000C73AE"/>
    <w:rsid w:val="000D299E"/>
    <w:rsid w:val="00106D59"/>
    <w:rsid w:val="001357F3"/>
    <w:rsid w:val="00152A61"/>
    <w:rsid w:val="001D361A"/>
    <w:rsid w:val="001E455F"/>
    <w:rsid w:val="001F7BD1"/>
    <w:rsid w:val="00263F70"/>
    <w:rsid w:val="002C3D59"/>
    <w:rsid w:val="002C534F"/>
    <w:rsid w:val="002E37C8"/>
    <w:rsid w:val="00323E3E"/>
    <w:rsid w:val="003344FB"/>
    <w:rsid w:val="003C3138"/>
    <w:rsid w:val="003D3976"/>
    <w:rsid w:val="003E697F"/>
    <w:rsid w:val="00411520"/>
    <w:rsid w:val="004328D9"/>
    <w:rsid w:val="00445AD3"/>
    <w:rsid w:val="00447B7E"/>
    <w:rsid w:val="00466B1E"/>
    <w:rsid w:val="004D3495"/>
    <w:rsid w:val="004F2E52"/>
    <w:rsid w:val="004F5588"/>
    <w:rsid w:val="00503BDC"/>
    <w:rsid w:val="00505239"/>
    <w:rsid w:val="00512CF6"/>
    <w:rsid w:val="00514831"/>
    <w:rsid w:val="00523CA1"/>
    <w:rsid w:val="00600D38"/>
    <w:rsid w:val="00623463"/>
    <w:rsid w:val="00626A98"/>
    <w:rsid w:val="006271B8"/>
    <w:rsid w:val="00656AAD"/>
    <w:rsid w:val="006C487F"/>
    <w:rsid w:val="00704A7C"/>
    <w:rsid w:val="0073306D"/>
    <w:rsid w:val="00751930"/>
    <w:rsid w:val="007716B1"/>
    <w:rsid w:val="007933E9"/>
    <w:rsid w:val="007D39B1"/>
    <w:rsid w:val="008A2FE5"/>
    <w:rsid w:val="009565CB"/>
    <w:rsid w:val="00A044F0"/>
    <w:rsid w:val="00A04DDE"/>
    <w:rsid w:val="00A95331"/>
    <w:rsid w:val="00B033B9"/>
    <w:rsid w:val="00B07F00"/>
    <w:rsid w:val="00B307DA"/>
    <w:rsid w:val="00BA52CA"/>
    <w:rsid w:val="00BB1419"/>
    <w:rsid w:val="00BC6060"/>
    <w:rsid w:val="00C12395"/>
    <w:rsid w:val="00C17A79"/>
    <w:rsid w:val="00C17B99"/>
    <w:rsid w:val="00C213F4"/>
    <w:rsid w:val="00C22262"/>
    <w:rsid w:val="00C74102"/>
    <w:rsid w:val="00C8646A"/>
    <w:rsid w:val="00CB6DE3"/>
    <w:rsid w:val="00CE7B28"/>
    <w:rsid w:val="00D81630"/>
    <w:rsid w:val="00DE1916"/>
    <w:rsid w:val="00DE7B88"/>
    <w:rsid w:val="00E62F91"/>
    <w:rsid w:val="00EE160A"/>
    <w:rsid w:val="00EF69B0"/>
    <w:rsid w:val="00F0424C"/>
    <w:rsid w:val="00F4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B499"/>
  <w15:chartTrackingRefBased/>
  <w15:docId w15:val="{444DD9FB-FC82-4C47-8BB1-4A8018D7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3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3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3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3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aliases w:val="_Signature"/>
    <w:basedOn w:val="Normal"/>
    <w:rsid w:val="000C73AE"/>
    <w:pPr>
      <w:tabs>
        <w:tab w:val="center" w:pos="1400"/>
        <w:tab w:val="center" w:pos="5940"/>
      </w:tabs>
      <w:autoSpaceDE w:val="0"/>
      <w:autoSpaceDN w:val="0"/>
      <w:adjustRightInd w:val="0"/>
      <w:spacing w:before="72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List">
    <w:name w:val="Ju_List"/>
    <w:aliases w:val="_List_1"/>
    <w:uiPriority w:val="99"/>
    <w:rsid w:val="000C73AE"/>
    <w:pPr>
      <w:tabs>
        <w:tab w:val="left" w:pos="340"/>
      </w:tabs>
      <w:autoSpaceDE w:val="0"/>
      <w:autoSpaceDN w:val="0"/>
      <w:adjustRightInd w:val="0"/>
      <w:spacing w:before="280" w:after="60" w:line="240" w:lineRule="auto"/>
      <w:ind w:left="340" w:hanging="34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Halpha">
    <w:name w:val="Ju_H_alpha"/>
    <w:aliases w:val="_Head_7"/>
    <w:basedOn w:val="Heading7"/>
    <w:uiPriority w:val="99"/>
    <w:rsid w:val="000C73AE"/>
    <w:pPr>
      <w:tabs>
        <w:tab w:val="left" w:pos="1360"/>
      </w:tabs>
      <w:autoSpaceDE w:val="0"/>
      <w:autoSpaceDN w:val="0"/>
      <w:adjustRightInd w:val="0"/>
      <w:spacing w:before="100" w:after="120" w:line="240" w:lineRule="auto"/>
      <w:ind w:left="1240" w:hanging="380"/>
      <w:jc w:val="both"/>
      <w:outlineLvl w:val="9"/>
    </w:pPr>
    <w:rPr>
      <w:rFonts w:ascii="Times New Roman" w:eastAsiaTheme="minorHAnsi" w:hAnsi="Times New Roman" w:cs="Times New Roman"/>
      <w:color w:val="auto"/>
      <w:sz w:val="20"/>
      <w:szCs w:val="20"/>
    </w:rPr>
  </w:style>
  <w:style w:type="paragraph" w:customStyle="1" w:styleId="JuHi">
    <w:name w:val="Ju_H_i"/>
    <w:aliases w:val="_Head_6"/>
    <w:basedOn w:val="Heading6"/>
    <w:uiPriority w:val="99"/>
    <w:rsid w:val="000C73AE"/>
    <w:pPr>
      <w:tabs>
        <w:tab w:val="left" w:pos="1060"/>
        <w:tab w:val="left" w:pos="1120"/>
        <w:tab w:val="left" w:pos="1180"/>
        <w:tab w:val="left" w:pos="1240"/>
      </w:tabs>
      <w:autoSpaceDE w:val="0"/>
      <w:autoSpaceDN w:val="0"/>
      <w:adjustRightInd w:val="0"/>
      <w:spacing w:before="100" w:after="120" w:line="270" w:lineRule="atLeast"/>
      <w:ind w:left="1020" w:hanging="340"/>
      <w:jc w:val="both"/>
      <w:outlineLvl w:val="9"/>
    </w:pPr>
    <w:rPr>
      <w:rFonts w:ascii="Times New Roman" w:eastAsiaTheme="minorHAnsi" w:hAnsi="Times New Roman" w:cs="Times New Roman"/>
      <w:i/>
      <w:iCs/>
      <w:color w:val="auto"/>
      <w:sz w:val="20"/>
      <w:szCs w:val="20"/>
    </w:rPr>
  </w:style>
  <w:style w:type="paragraph" w:customStyle="1" w:styleId="JuHa">
    <w:name w:val="Ju_H_a"/>
    <w:aliases w:val="_Head_5"/>
    <w:basedOn w:val="Heading5"/>
    <w:uiPriority w:val="99"/>
    <w:rsid w:val="000C73AE"/>
    <w:pPr>
      <w:autoSpaceDE w:val="0"/>
      <w:autoSpaceDN w:val="0"/>
      <w:adjustRightInd w:val="0"/>
      <w:spacing w:before="100" w:after="120" w:line="240" w:lineRule="auto"/>
      <w:ind w:left="840" w:hanging="340"/>
      <w:jc w:val="both"/>
      <w:outlineLvl w:val="9"/>
    </w:pPr>
    <w:rPr>
      <w:rFonts w:ascii="Times New Roman" w:eastAsiaTheme="minorHAnsi" w:hAnsi="Times New Roman" w:cs="Times New Roman"/>
      <w:b/>
      <w:bCs/>
      <w:color w:val="auto"/>
      <w:sz w:val="20"/>
      <w:szCs w:val="20"/>
    </w:rPr>
  </w:style>
  <w:style w:type="paragraph" w:customStyle="1" w:styleId="JuParaLast">
    <w:name w:val="Ju_Para_Last"/>
    <w:aliases w:val="_Para_Spaced"/>
    <w:uiPriority w:val="99"/>
    <w:rsid w:val="000C73AE"/>
    <w:pPr>
      <w:keepNext/>
      <w:keepLines/>
      <w:autoSpaceDE w:val="0"/>
      <w:autoSpaceDN w:val="0"/>
      <w:adjustRightInd w:val="0"/>
      <w:spacing w:before="240" w:after="240" w:line="240" w:lineRule="auto"/>
      <w:ind w:firstLine="28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H1">
    <w:name w:val="Ju_H_1."/>
    <w:aliases w:val="_Head_4"/>
    <w:basedOn w:val="Heading4"/>
    <w:uiPriority w:val="99"/>
    <w:rsid w:val="000C73AE"/>
    <w:pPr>
      <w:autoSpaceDE w:val="0"/>
      <w:autoSpaceDN w:val="0"/>
      <w:adjustRightInd w:val="0"/>
      <w:spacing w:before="100" w:after="120" w:line="240" w:lineRule="auto"/>
      <w:ind w:left="680" w:hanging="340"/>
      <w:jc w:val="both"/>
      <w:outlineLvl w:val="9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JuHA0">
    <w:name w:val="Ju_H_A"/>
    <w:aliases w:val="_Head_3"/>
    <w:basedOn w:val="Heading3"/>
    <w:uiPriority w:val="99"/>
    <w:rsid w:val="000C73AE"/>
    <w:pPr>
      <w:autoSpaceDE w:val="0"/>
      <w:autoSpaceDN w:val="0"/>
      <w:adjustRightInd w:val="0"/>
      <w:spacing w:before="100" w:after="240" w:line="240" w:lineRule="auto"/>
      <w:ind w:left="500" w:hanging="340"/>
      <w:jc w:val="both"/>
      <w:outlineLvl w:val="9"/>
    </w:pPr>
    <w:rPr>
      <w:rFonts w:ascii="Times New Roman" w:eastAsiaTheme="minorHAnsi" w:hAnsi="Times New Roman" w:cs="Times New Roman"/>
      <w:b/>
      <w:bCs/>
      <w:color w:val="auto"/>
    </w:rPr>
  </w:style>
  <w:style w:type="paragraph" w:customStyle="1" w:styleId="JuQuot">
    <w:name w:val="Ju_Quot"/>
    <w:aliases w:val="_Quote"/>
    <w:uiPriority w:val="99"/>
    <w:rsid w:val="000C73AE"/>
    <w:pPr>
      <w:autoSpaceDE w:val="0"/>
      <w:autoSpaceDN w:val="0"/>
      <w:adjustRightInd w:val="0"/>
      <w:spacing w:before="120" w:after="120" w:line="240" w:lineRule="auto"/>
      <w:ind w:left="420" w:firstLine="140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JuHIRoman">
    <w:name w:val="Ju_H_I_Roman"/>
    <w:aliases w:val="_Head_2"/>
    <w:basedOn w:val="Heading2"/>
    <w:uiPriority w:val="99"/>
    <w:rsid w:val="000C73AE"/>
    <w:pPr>
      <w:tabs>
        <w:tab w:val="left" w:pos="440"/>
        <w:tab w:val="left" w:pos="520"/>
        <w:tab w:val="left" w:pos="620"/>
        <w:tab w:val="left" w:pos="700"/>
        <w:tab w:val="left" w:pos="780"/>
      </w:tabs>
      <w:autoSpaceDE w:val="0"/>
      <w:autoSpaceDN w:val="0"/>
      <w:adjustRightInd w:val="0"/>
      <w:spacing w:before="100" w:after="240" w:line="240" w:lineRule="auto"/>
      <w:ind w:left="360" w:hanging="360"/>
      <w:jc w:val="both"/>
      <w:outlineLvl w:val="9"/>
    </w:pPr>
    <w:rPr>
      <w:rFonts w:ascii="Times New Roman" w:eastAsiaTheme="minorHAnsi" w:hAnsi="Times New Roman" w:cs="Times New Roman"/>
      <w:caps/>
      <w:color w:val="auto"/>
      <w:sz w:val="24"/>
      <w:szCs w:val="24"/>
    </w:rPr>
  </w:style>
  <w:style w:type="paragraph" w:customStyle="1" w:styleId="JuHHead">
    <w:name w:val="Ju_H_Head"/>
    <w:aliases w:val="_Head_1"/>
    <w:basedOn w:val="Heading1"/>
    <w:uiPriority w:val="99"/>
    <w:rsid w:val="000C73AE"/>
    <w:pPr>
      <w:autoSpaceDE w:val="0"/>
      <w:autoSpaceDN w:val="0"/>
      <w:adjustRightInd w:val="0"/>
      <w:spacing w:before="100" w:after="240" w:line="240" w:lineRule="auto"/>
      <w:jc w:val="both"/>
      <w:outlineLvl w:val="9"/>
    </w:pPr>
    <w:rPr>
      <w:rFonts w:ascii="Times New Roman" w:eastAsiaTheme="minorHAnsi" w:hAnsi="Times New Roman" w:cs="Times New Roman"/>
      <w:caps/>
      <w:color w:val="auto"/>
      <w:sz w:val="28"/>
      <w:szCs w:val="28"/>
    </w:rPr>
  </w:style>
  <w:style w:type="paragraph" w:customStyle="1" w:styleId="JuJudges">
    <w:name w:val="Ju_Judges"/>
    <w:aliases w:val="_Judges"/>
    <w:basedOn w:val="Normal"/>
    <w:uiPriority w:val="99"/>
    <w:rsid w:val="000C73AE"/>
    <w:pPr>
      <w:tabs>
        <w:tab w:val="left" w:pos="560"/>
        <w:tab w:val="left" w:pos="11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0C73AE"/>
    <w:pPr>
      <w:keepNext/>
      <w:keepLines/>
      <w:spacing w:after="280"/>
      <w:jc w:val="center"/>
    </w:pPr>
  </w:style>
  <w:style w:type="paragraph" w:customStyle="1" w:styleId="ECHRCoverTitle4">
    <w:name w:val="ECHR_Cover_Title_4"/>
    <w:aliases w:val="_Title_4"/>
    <w:basedOn w:val="JuPara"/>
    <w:next w:val="JuPara"/>
    <w:uiPriority w:val="99"/>
    <w:rsid w:val="000C73AE"/>
    <w:pPr>
      <w:keepNext/>
      <w:keepLines/>
      <w:tabs>
        <w:tab w:val="right" w:pos="7920"/>
      </w:tabs>
      <w:jc w:val="center"/>
    </w:pPr>
    <w:rPr>
      <w:i/>
      <w:iCs/>
    </w:rPr>
  </w:style>
  <w:style w:type="paragraph" w:customStyle="1" w:styleId="JuTitle">
    <w:name w:val="Ju_Title"/>
    <w:aliases w:val="_Title_2"/>
    <w:basedOn w:val="Normal"/>
    <w:next w:val="JuPara"/>
    <w:uiPriority w:val="99"/>
    <w:rsid w:val="000C73AE"/>
    <w:pPr>
      <w:keepNext/>
      <w:keepLines/>
      <w:autoSpaceDE w:val="0"/>
      <w:autoSpaceDN w:val="0"/>
      <w:adjustRightInd w:val="0"/>
      <w:spacing w:before="1320" w:after="28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0C73AE"/>
    <w:pPr>
      <w:keepNext/>
      <w:keepLines/>
      <w:spacing w:after="240"/>
      <w:jc w:val="center"/>
    </w:pPr>
    <w:rPr>
      <w:sz w:val="28"/>
      <w:szCs w:val="28"/>
    </w:rPr>
  </w:style>
  <w:style w:type="paragraph" w:customStyle="1" w:styleId="JuPara">
    <w:name w:val="Ju_Para"/>
    <w:aliases w:val="_Para"/>
    <w:basedOn w:val="Normal"/>
    <w:link w:val="JuParaChar"/>
    <w:uiPriority w:val="4"/>
    <w:qFormat/>
    <w:rsid w:val="000C73AE"/>
    <w:pPr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3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3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3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3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3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3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73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ECHRListTable">
    <w:name w:val="ECHR_List_Table"/>
    <w:basedOn w:val="TableNormal"/>
    <w:uiPriority w:val="99"/>
    <w:rsid w:val="003344FB"/>
    <w:pPr>
      <w:spacing w:after="0" w:line="240" w:lineRule="auto"/>
    </w:pPr>
    <w:rPr>
      <w:sz w:val="24"/>
      <w:szCs w:val="24"/>
      <w:lang w:val="sq-AL"/>
    </w:rPr>
    <w:tblPr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76923C" w:themeColor="accent3" w:themeShade="BF"/>
      </w:rPr>
      <w:tblPr/>
      <w:trPr>
        <w:tblHeader/>
      </w:trPr>
      <w:tcPr>
        <w:tc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cBorders>
        <w:shd w:val="clear" w:color="auto" w:fill="DDD9C3" w:themeFill="background2" w:themeFillShade="E6"/>
      </w:tcPr>
    </w:tblStylePr>
  </w:style>
  <w:style w:type="character" w:customStyle="1" w:styleId="JuParaChar">
    <w:name w:val="Ju_Para Char"/>
    <w:aliases w:val="_Para Char"/>
    <w:link w:val="JuPara"/>
    <w:uiPriority w:val="4"/>
    <w:rsid w:val="003344FB"/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E7B28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B28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1049-17</Nr_x002e__x0020_akti>
    <Data_x0020_e_x0020_Krijimit xmlns="0e656187-b300-4fb0-8bf4-3a50f872073c">2023-12-01T12:18:43Z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2023-11-30T00:00:00Z</Date_x0020_protokolli>
    <Titulli xmlns="0e656187-b300-4fb0-8bf4-3a50f872073c">Çështja Nika kundër Shqipërsisë (Kërkesa nr. 1049/17)</Titulli>
    <Modifikuesi xmlns="0e656187-b300-4fb0-8bf4-3a50f872073c">Fjora.Cahani</Modifikuesi>
    <Nr_x002e__x0020_prot_x0020_QBZ xmlns="0e656187-b300-4fb0-8bf4-3a50f872073c">1778/1</Nr_x002e__x0020_prot_x0020_QBZ>
    <Data_x0020_e_x0020_Modifikimit xmlns="0e656187-b300-4fb0-8bf4-3a50f872073c">2023-12-05T14:05:22Z</Data_x0020_e_x0020_Modifikimit>
    <Dekretuar xmlns="0e656187-b300-4fb0-8bf4-3a50f872073c">false</Dekretuar>
    <Data xmlns="0e656187-b300-4fb0-8bf4-3a50f872073c">2023-11-14T00:00:00Z</Data>
    <Nr_x002e__x0020_protokolli_x0020_i_x0020_aktit xmlns="0e656187-b300-4fb0-8bf4-3a50f872073c">6587/1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E483A6BAD4F494AAF04C2988797DD35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4E483A6BAD4F494AAF04C2988797DD35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91D4B6C-8EF5-40FE-A717-B6EA62D0D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AF2D8-C401-4070-A32F-84F44BB6C0E8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3.xml><?xml version="1.0" encoding="utf-8"?>
<ds:datastoreItem xmlns:ds="http://schemas.openxmlformats.org/officeDocument/2006/customXml" ds:itemID="{BC5B1CE0-EA83-47AC-ADA8-8E661CE19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10E79-9371-4849-9D9D-10FC4CE0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88EFE46-5E9B-4376-B930-9FC0E6E66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19805</Words>
  <Characters>112889</Characters>
  <Application>Microsoft Office Word</Application>
  <DocSecurity>0</DocSecurity>
  <Lines>940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Nika kundër Shqipërsisë (Kërkesa nr. 1049/17)</vt:lpstr>
    </vt:vector>
  </TitlesOfParts>
  <Company/>
  <LinksUpToDate>false</LinksUpToDate>
  <CharactersWithSpaces>132430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Nika kundër Shqipërsisë (Kërkesa nr. 1049/17)</dc:title>
  <dc:creator>Nevila Samarxhi</dc:creator>
  <cp:lastModifiedBy>Jonida Zaharia</cp:lastModifiedBy>
  <cp:revision>2</cp:revision>
  <dcterms:created xsi:type="dcterms:W3CDTF">2024-06-07T09:18:00Z</dcterms:created>
  <dcterms:modified xsi:type="dcterms:W3CDTF">2024-06-07T09:18:00Z</dcterms:modified>
</cp:coreProperties>
</file>