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06D97" w14:textId="77777777" w:rsidR="00915568" w:rsidRDefault="00915568" w:rsidP="007962CC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</w:p>
    <w:p w14:paraId="6B8B51E7" w14:textId="5D49BE15" w:rsidR="007962CC" w:rsidRPr="00774E92" w:rsidRDefault="007962CC" w:rsidP="007962CC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774E92">
        <w:rPr>
          <w:rFonts w:ascii="Garamond" w:hAnsi="Garamond"/>
          <w:sz w:val="24"/>
          <w:szCs w:val="24"/>
        </w:rPr>
        <w:t>GJYKATA</w:t>
      </w:r>
      <w:r w:rsidR="008C29B0" w:rsidRPr="00774E92">
        <w:rPr>
          <w:rFonts w:ascii="Garamond" w:hAnsi="Garamond"/>
          <w:sz w:val="24"/>
          <w:szCs w:val="24"/>
        </w:rPr>
        <w:t xml:space="preserve"> </w:t>
      </w:r>
      <w:r w:rsidRPr="00774E92">
        <w:rPr>
          <w:rFonts w:ascii="Garamond" w:hAnsi="Garamond"/>
          <w:sz w:val="24"/>
          <w:szCs w:val="24"/>
        </w:rPr>
        <w:t>EVROPIANE</w:t>
      </w:r>
      <w:r w:rsidR="008C29B0" w:rsidRPr="00774E92">
        <w:rPr>
          <w:rFonts w:ascii="Garamond" w:hAnsi="Garamond"/>
          <w:sz w:val="24"/>
          <w:szCs w:val="24"/>
        </w:rPr>
        <w:t xml:space="preserve"> </w:t>
      </w:r>
      <w:r w:rsidRPr="00774E92">
        <w:rPr>
          <w:rFonts w:ascii="Garamond" w:hAnsi="Garamond"/>
          <w:sz w:val="24"/>
          <w:szCs w:val="24"/>
        </w:rPr>
        <w:t>PËR</w:t>
      </w:r>
      <w:r w:rsidR="008C29B0" w:rsidRPr="00774E92">
        <w:rPr>
          <w:rFonts w:ascii="Garamond" w:hAnsi="Garamond"/>
          <w:sz w:val="24"/>
          <w:szCs w:val="24"/>
        </w:rPr>
        <w:t xml:space="preserve"> </w:t>
      </w:r>
      <w:r w:rsidRPr="00774E92">
        <w:rPr>
          <w:rFonts w:ascii="Garamond" w:hAnsi="Garamond"/>
          <w:sz w:val="24"/>
          <w:szCs w:val="24"/>
        </w:rPr>
        <w:t>TË</w:t>
      </w:r>
      <w:r w:rsidR="008C29B0" w:rsidRPr="00774E92">
        <w:rPr>
          <w:rFonts w:ascii="Garamond" w:hAnsi="Garamond"/>
          <w:sz w:val="24"/>
          <w:szCs w:val="24"/>
        </w:rPr>
        <w:t xml:space="preserve"> </w:t>
      </w:r>
      <w:r w:rsidRPr="00774E92">
        <w:rPr>
          <w:rFonts w:ascii="Garamond" w:hAnsi="Garamond"/>
          <w:sz w:val="24"/>
          <w:szCs w:val="24"/>
        </w:rPr>
        <w:t>DREJTAT</w:t>
      </w:r>
      <w:r w:rsidR="008C29B0" w:rsidRPr="00774E92">
        <w:rPr>
          <w:rFonts w:ascii="Garamond" w:hAnsi="Garamond"/>
          <w:sz w:val="24"/>
          <w:szCs w:val="24"/>
        </w:rPr>
        <w:t xml:space="preserve"> </w:t>
      </w:r>
      <w:r w:rsidRPr="00774E92">
        <w:rPr>
          <w:rFonts w:ascii="Garamond" w:hAnsi="Garamond"/>
          <w:sz w:val="24"/>
          <w:szCs w:val="24"/>
        </w:rPr>
        <w:t>E</w:t>
      </w:r>
      <w:r w:rsidR="008C29B0" w:rsidRPr="00774E92">
        <w:rPr>
          <w:rFonts w:ascii="Garamond" w:hAnsi="Garamond"/>
          <w:sz w:val="24"/>
          <w:szCs w:val="24"/>
        </w:rPr>
        <w:t xml:space="preserve"> </w:t>
      </w:r>
      <w:r w:rsidRPr="00774E92">
        <w:rPr>
          <w:rFonts w:ascii="Garamond" w:hAnsi="Garamond"/>
          <w:sz w:val="24"/>
          <w:szCs w:val="24"/>
        </w:rPr>
        <w:t>NJERIUT</w:t>
      </w:r>
    </w:p>
    <w:p w14:paraId="5D116D1B" w14:textId="1D6635BA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SEKSIONI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TRETË</w:t>
      </w:r>
    </w:p>
    <w:p w14:paraId="1839225F" w14:textId="77777777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00937D9A" w14:textId="2AFF1E46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color w:val="000000"/>
          <w:sz w:val="24"/>
          <w:szCs w:val="24"/>
        </w:rPr>
      </w:pPr>
      <w:r w:rsidRPr="00774E92">
        <w:rPr>
          <w:rFonts w:ascii="Garamond" w:hAnsi="Garamond" w:cs="Times New Roman"/>
          <w:b/>
          <w:color w:val="000000"/>
          <w:sz w:val="24"/>
          <w:szCs w:val="24"/>
        </w:rPr>
        <w:t>VENDIM</w:t>
      </w:r>
    </w:p>
    <w:p w14:paraId="354639CA" w14:textId="6A571C42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i/>
          <w:color w:val="000000"/>
          <w:sz w:val="24"/>
          <w:szCs w:val="24"/>
        </w:rPr>
      </w:pPr>
      <w:r w:rsidRPr="00774E92">
        <w:rPr>
          <w:rFonts w:ascii="Garamond" w:hAnsi="Garamond" w:cs="Times New Roman"/>
          <w:i/>
          <w:color w:val="000000"/>
          <w:sz w:val="24"/>
          <w:szCs w:val="24"/>
        </w:rPr>
        <w:t>Kërkesa</w:t>
      </w:r>
      <w:r w:rsidR="008C29B0" w:rsidRPr="00774E92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color w:val="000000"/>
          <w:sz w:val="24"/>
          <w:szCs w:val="24"/>
        </w:rPr>
        <w:t>nr.</w:t>
      </w:r>
      <w:r w:rsidR="008C29B0" w:rsidRPr="00774E92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color w:val="000000"/>
          <w:sz w:val="24"/>
          <w:szCs w:val="24"/>
        </w:rPr>
        <w:t>1377/16</w:t>
      </w:r>
    </w:p>
    <w:p w14:paraId="338907DB" w14:textId="77777777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6223C0BD" w14:textId="30B003E5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color w:val="000000"/>
          <w:sz w:val="24"/>
          <w:szCs w:val="24"/>
        </w:rPr>
      </w:pPr>
      <w:r w:rsidRPr="00774E92">
        <w:rPr>
          <w:rFonts w:ascii="Garamond" w:hAnsi="Garamond" w:cs="Times New Roman"/>
          <w:b/>
          <w:color w:val="000000"/>
          <w:sz w:val="24"/>
          <w:szCs w:val="24"/>
        </w:rPr>
        <w:t>PRODHIM</w:t>
      </w:r>
      <w:r w:rsidR="008C29B0" w:rsidRPr="00774E92">
        <w:rPr>
          <w:rFonts w:ascii="Garamond" w:hAnsi="Garamond" w:cs="Times New Roman"/>
          <w:b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color w:val="000000"/>
          <w:sz w:val="24"/>
          <w:szCs w:val="24"/>
        </w:rPr>
        <w:t>VESHJE</w:t>
      </w:r>
      <w:r w:rsidR="008C29B0" w:rsidRPr="00774E92">
        <w:rPr>
          <w:rFonts w:ascii="Garamond" w:hAnsi="Garamond" w:cs="Times New Roman"/>
          <w:b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color w:val="000000"/>
          <w:sz w:val="24"/>
          <w:szCs w:val="24"/>
        </w:rPr>
        <w:t>NR.</w:t>
      </w:r>
      <w:r w:rsidR="005A2FFA" w:rsidRPr="00774E92">
        <w:rPr>
          <w:rFonts w:ascii="Garamond" w:hAnsi="Garamond" w:cs="Times New Roman"/>
          <w:b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color w:val="000000"/>
          <w:sz w:val="24"/>
          <w:szCs w:val="24"/>
        </w:rPr>
        <w:t>2</w:t>
      </w:r>
      <w:r w:rsidR="008C29B0" w:rsidRPr="00774E92">
        <w:rPr>
          <w:rFonts w:ascii="Garamond" w:hAnsi="Garamond" w:cs="Times New Roman"/>
          <w:b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color w:val="000000"/>
          <w:sz w:val="24"/>
          <w:szCs w:val="24"/>
        </w:rPr>
        <w:t>SHA</w:t>
      </w:r>
    </w:p>
    <w:p w14:paraId="10A60D82" w14:textId="3E946609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i/>
          <w:iCs/>
          <w:color w:val="000000"/>
          <w:sz w:val="24"/>
          <w:szCs w:val="24"/>
        </w:rPr>
      </w:pPr>
      <w:r w:rsidRPr="00774E92">
        <w:rPr>
          <w:rFonts w:ascii="Garamond" w:hAnsi="Garamond" w:cs="Times New Roman"/>
          <w:b/>
          <w:color w:val="000000"/>
          <w:sz w:val="24"/>
          <w:szCs w:val="24"/>
        </w:rPr>
        <w:t>KUNDËR</w:t>
      </w:r>
      <w:r w:rsidR="008C29B0" w:rsidRPr="00774E92">
        <w:rPr>
          <w:rFonts w:ascii="Garamond" w:hAnsi="Garamond" w:cs="Times New Roman"/>
          <w:b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color w:val="000000"/>
          <w:sz w:val="24"/>
          <w:szCs w:val="24"/>
        </w:rPr>
        <w:t>SHQIPËRISË</w:t>
      </w:r>
    </w:p>
    <w:p w14:paraId="4D60F32A" w14:textId="77777777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</w:p>
    <w:p w14:paraId="1B5D8247" w14:textId="40E9ACAC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5A2FFA" w:rsidRPr="00774E92">
        <w:rPr>
          <w:rFonts w:ascii="Garamond" w:hAnsi="Garamond" w:cs="Times New Roman"/>
          <w:color w:val="000000"/>
          <w:sz w:val="24"/>
          <w:szCs w:val="24"/>
        </w:rPr>
        <w:t>Evropiane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Drejtave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Njeriut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(Seksioni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Tretë),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mbledhur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26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shtator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2023</w:t>
      </w:r>
      <w:r w:rsidR="005A2FFA" w:rsidRP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Komitet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përbërë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nga:</w:t>
      </w:r>
    </w:p>
    <w:p w14:paraId="6D5BA679" w14:textId="15D84273" w:rsidR="007962CC" w:rsidRPr="00774E92" w:rsidRDefault="008C29B0" w:rsidP="007962CC">
      <w:pPr>
        <w:tabs>
          <w:tab w:val="left" w:pos="280"/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962CC" w:rsidRPr="00774E92">
        <w:rPr>
          <w:rFonts w:ascii="Garamond" w:hAnsi="Garamond" w:cs="Times New Roman"/>
          <w:color w:val="000000"/>
          <w:sz w:val="24"/>
          <w:szCs w:val="24"/>
        </w:rPr>
        <w:t>Georgios</w:t>
      </w:r>
      <w:r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962CC" w:rsidRPr="00774E92">
        <w:rPr>
          <w:rFonts w:ascii="Garamond" w:hAnsi="Garamond" w:cs="Times New Roman"/>
          <w:color w:val="000000"/>
          <w:sz w:val="24"/>
          <w:szCs w:val="24"/>
        </w:rPr>
        <w:t>A.</w:t>
      </w:r>
      <w:r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962CC" w:rsidRPr="00774E92">
        <w:rPr>
          <w:rFonts w:ascii="Garamond" w:hAnsi="Garamond" w:cs="Times New Roman"/>
          <w:color w:val="000000"/>
          <w:sz w:val="24"/>
          <w:szCs w:val="24"/>
        </w:rPr>
        <w:t>Serghides</w:t>
      </w:r>
      <w:r w:rsidR="007962CC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,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="00774E92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President</w:t>
      </w:r>
      <w:r w:rsidR="007962CC" w:rsidRPr="00774E92">
        <w:rPr>
          <w:rFonts w:ascii="Garamond" w:hAnsi="Garamond" w:cs="Times New Roman"/>
          <w:color w:val="000000"/>
          <w:sz w:val="24"/>
          <w:szCs w:val="24"/>
        </w:rPr>
        <w:t>,</w:t>
      </w:r>
    </w:p>
    <w:p w14:paraId="700E5123" w14:textId="2970F61C" w:rsidR="007962CC" w:rsidRPr="00774E92" w:rsidRDefault="008C29B0" w:rsidP="007962CC">
      <w:pPr>
        <w:tabs>
          <w:tab w:val="left" w:pos="280"/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962CC" w:rsidRPr="00774E92">
        <w:rPr>
          <w:rFonts w:ascii="Garamond" w:hAnsi="Garamond" w:cs="Times New Roman"/>
          <w:color w:val="000000"/>
          <w:sz w:val="24"/>
          <w:szCs w:val="24"/>
        </w:rPr>
        <w:t>Darian</w:t>
      </w:r>
      <w:r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962CC" w:rsidRPr="00774E92">
        <w:rPr>
          <w:rFonts w:ascii="Garamond" w:hAnsi="Garamond" w:cs="Times New Roman"/>
          <w:color w:val="000000"/>
          <w:sz w:val="24"/>
          <w:szCs w:val="24"/>
        </w:rPr>
        <w:t>Pavli,</w:t>
      </w:r>
    </w:p>
    <w:p w14:paraId="704B9C2E" w14:textId="0024B190" w:rsidR="007962CC" w:rsidRPr="00774E92" w:rsidRDefault="008C29B0" w:rsidP="007962CC">
      <w:pPr>
        <w:tabs>
          <w:tab w:val="left" w:pos="280"/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962CC" w:rsidRPr="00774E92">
        <w:rPr>
          <w:rFonts w:ascii="Garamond" w:hAnsi="Garamond" w:cs="Times New Roman"/>
          <w:color w:val="000000"/>
          <w:sz w:val="24"/>
          <w:szCs w:val="24"/>
        </w:rPr>
        <w:t>Oddný</w:t>
      </w:r>
      <w:r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962CC" w:rsidRPr="00774E92">
        <w:rPr>
          <w:rFonts w:ascii="Garamond" w:hAnsi="Garamond" w:cs="Times New Roman"/>
          <w:color w:val="000000"/>
          <w:sz w:val="24"/>
          <w:szCs w:val="24"/>
        </w:rPr>
        <w:t>Mjöll</w:t>
      </w:r>
      <w:r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962CC" w:rsidRPr="00774E92">
        <w:rPr>
          <w:rFonts w:ascii="Garamond" w:hAnsi="Garamond" w:cs="Times New Roman"/>
          <w:color w:val="000000"/>
          <w:sz w:val="24"/>
          <w:szCs w:val="24"/>
        </w:rPr>
        <w:t>Arnardóttir</w:t>
      </w:r>
      <w:r w:rsidR="007962CC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,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="007962CC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gjyqtarë</w:t>
      </w:r>
      <w:r w:rsidR="007962CC" w:rsidRPr="00774E92">
        <w:rPr>
          <w:rFonts w:ascii="Garamond" w:hAnsi="Garamond" w:cs="Times New Roman"/>
          <w:color w:val="000000"/>
          <w:sz w:val="24"/>
          <w:szCs w:val="24"/>
        </w:rPr>
        <w:t>,</w:t>
      </w:r>
    </w:p>
    <w:p w14:paraId="1FB38347" w14:textId="2ECE69CE" w:rsidR="007962CC" w:rsidRPr="00774E92" w:rsidRDefault="007962CC" w:rsidP="007962CC">
      <w:pPr>
        <w:tabs>
          <w:tab w:val="left" w:pos="280"/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Olga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Chernishova,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5A2FFA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z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ëvendës</w:t>
      </w:r>
      <w:r w:rsidR="005A2FFA" w:rsidRPr="00774E92">
        <w:rPr>
          <w:rFonts w:ascii="Garamond" w:hAnsi="Garamond" w:cs="Times New Roman"/>
          <w:color w:val="000000"/>
          <w:sz w:val="24"/>
          <w:szCs w:val="24"/>
        </w:rPr>
        <w:t>k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ancelare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Seksionit,</w:t>
      </w:r>
    </w:p>
    <w:p w14:paraId="44C00A4B" w14:textId="24E373B2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Duke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pasur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parasysh:</w:t>
      </w:r>
    </w:p>
    <w:p w14:paraId="1657AE60" w14:textId="2E3BEBBD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kërkesën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(nr.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1377/16)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kundër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Shqipërisë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depozituar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sipas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nenit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34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Konventës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Mbrojtjen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Drejtave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Lirive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Themelore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Njeriut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(“Konventa”)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30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dhjetor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2015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Prodhim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Veshje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nr.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sh.a.,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tregtare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themeluar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Shqipëri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(“shoqëria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kërkuese”)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përfaqësuar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74E92" w:rsidRPr="00774E92">
        <w:rPr>
          <w:rFonts w:ascii="Garamond" w:hAnsi="Garamond" w:cs="Times New Roman"/>
          <w:color w:val="000000"/>
          <w:sz w:val="24"/>
          <w:szCs w:val="24"/>
        </w:rPr>
        <w:t>z</w:t>
      </w:r>
      <w:r w:rsidRPr="00774E92">
        <w:rPr>
          <w:rFonts w:ascii="Garamond" w:hAnsi="Garamond" w:cs="Times New Roman"/>
          <w:color w:val="000000"/>
          <w:sz w:val="24"/>
          <w:szCs w:val="24"/>
        </w:rPr>
        <w:t>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Rusi,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licencuar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Tiranë;</w:t>
      </w:r>
    </w:p>
    <w:p w14:paraId="3CC94528" w14:textId="517667B6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vendimin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njoftuar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Qeverinë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Shqipërisë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(“Qeveria”),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përfaqësuar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Agjentja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kohe,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znj.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Hicka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z.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O.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Moçka,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Përgjithshëm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Shtetit,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ankimin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sipas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nenit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6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§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Konventës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lidhje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drejtën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akses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drejtën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vendim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arsyetuar,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ankimin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sipas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nenit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Protokollit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nr.</w:t>
      </w:r>
      <w:r w:rsid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Konventës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lidhje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vendimin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urdhëron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paguajë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dëmshpërblim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shpallur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papranueshme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pjesën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tjetër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kërkesës;</w:t>
      </w:r>
    </w:p>
    <w:p w14:paraId="106EF6C9" w14:textId="06DE9E95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parashtrimet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palëve;</w:t>
      </w:r>
    </w:p>
    <w:p w14:paraId="0BFE3C0A" w14:textId="7CE9D8D5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Pas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diskutimit,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vendosi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poshtë:</w:t>
      </w:r>
    </w:p>
    <w:p w14:paraId="3351F5E5" w14:textId="630F043A" w:rsidR="007962CC" w:rsidRPr="00774E92" w:rsidRDefault="007962CC" w:rsidP="007962C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aps/>
          <w:color w:val="000000"/>
          <w:sz w:val="24"/>
          <w:szCs w:val="24"/>
        </w:rPr>
      </w:pPr>
      <w:r w:rsidRPr="00774E92">
        <w:rPr>
          <w:rFonts w:ascii="Garamond" w:hAnsi="Garamond" w:cs="Times New Roman"/>
          <w:caps/>
          <w:color w:val="000000"/>
          <w:sz w:val="24"/>
          <w:szCs w:val="24"/>
        </w:rPr>
        <w:t>OBJEKTI</w:t>
      </w:r>
      <w:r w:rsidR="008C29B0" w:rsidRPr="00774E92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aps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aps/>
          <w:color w:val="000000"/>
          <w:sz w:val="24"/>
          <w:szCs w:val="24"/>
        </w:rPr>
        <w:t>ÇËSHTJES</w:t>
      </w:r>
    </w:p>
    <w:p w14:paraId="6A5316C0" w14:textId="1A414BC1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14.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Çështja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bëjë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shkeljen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dyshuar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drejtës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gjykim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drejtë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drejtës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gëzimin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qetë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pronës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saj.</w:t>
      </w:r>
    </w:p>
    <w:p w14:paraId="109CA54F" w14:textId="273DE974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15.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vitin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2006,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palë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private,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A.M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filloi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ndërtimin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parcelë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toke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pretenduar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vitin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2007,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depozitoi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padi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civile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ndërprerjen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këtij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ndërtimi.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4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dhjetor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2007,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Gjyqësor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Tiranë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(Gjykata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Rrethit)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mori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vendim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masën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sigurimit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padisë</w:t>
      </w:r>
      <w:r w:rsidRP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duke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ndaluar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ndërtimin.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Kjo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padi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sigurua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depozitë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bankare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100.000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depozituar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kërkuese.</w:t>
      </w:r>
      <w:r w:rsidR="008C29B0" w:rsidRPr="00774E92">
        <w:rPr>
          <w:rFonts w:ascii="Garamond" w:hAnsi="Garamond" w:cs="Times New Roman"/>
          <w:color w:val="0070C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Ky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vendim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fuqi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Apelit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Lartë.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29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shtator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2008,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Gjyqësor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rrëzoi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pretendimin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kryesor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hoqi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masën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sigurimit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padisë.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5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shkurt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2010,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Apelit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fuqi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vendimin,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mori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formën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prerë.</w:t>
      </w:r>
    </w:p>
    <w:p w14:paraId="647E8E34" w14:textId="7B667BA0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16.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19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shkurt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2010,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A.M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“A”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depozituan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padi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civile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kundër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pagimin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dëmshpërblimit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rezultoi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marrja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masës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sigurimit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padisë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pezullimi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punimeve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ndërtimit,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kërkuan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kërkuese.</w:t>
      </w:r>
    </w:p>
    <w:p w14:paraId="66225E2B" w14:textId="2591B3FD" w:rsidR="007962CC" w:rsidRPr="00774E92" w:rsidRDefault="007962CC" w:rsidP="007962C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17.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Avokati,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përfaqësues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prokure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përfaqësimi,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mori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pjesë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seancat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mbajtura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28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korrik,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30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shtator,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26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tetor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2010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shkurt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2012.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mbajtur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28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korrik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2010,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kopje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padisë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prova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paraqitura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paditësi,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cilat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ishin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dorëzuar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atij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seancë.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26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tetor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2010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pezullimin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procesit,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pritje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rezultatit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procedimit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penal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filluar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kundër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A.M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ankimin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falsifikimin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dyshuar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lastRenderedPageBreak/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dokumenti.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Kërkesa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refuzua.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kërkesë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Gjyqësor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shtyu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planifikuar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4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27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prill,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29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qershor,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15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korrik,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7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dhjetor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2011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4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2012.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refuzoi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kërkesat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tjera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shtyrje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seancave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planifikuara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3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qershor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2011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8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2012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sepse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kërkesat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mbështeteshin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provat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përkatëse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ose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bazoheshin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shkaqet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përcaktuara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Kodin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Procedurës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Civile.</w:t>
      </w:r>
    </w:p>
    <w:p w14:paraId="4F838C6F" w14:textId="2180CBCA" w:rsidR="007962CC" w:rsidRPr="00774E92" w:rsidRDefault="007962CC" w:rsidP="007962C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18.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mbajtur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shkurt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2012,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dy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ekspertë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kontabël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pasurie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paluajtshme,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caktuar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thirrën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dhënë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dëshmi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gojë.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kërkesë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Gjyqësor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shtyu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seancë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qëllim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mund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konsultohej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opinionin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ekspertëve,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cilin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mori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kopje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seancë.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mbajtur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13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mars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2012,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vendosi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vazhdojë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praninë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meqenëse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mungonte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dhënë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arsye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kishte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paraqitur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kërkesë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shtyrje.</w:t>
      </w:r>
    </w:p>
    <w:p w14:paraId="04AF5EFC" w14:textId="6516C126" w:rsidR="007962CC" w:rsidRPr="00774E92" w:rsidRDefault="007962CC" w:rsidP="007962C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19.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Administratori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ose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morën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pjesë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tjera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përpara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kishte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dërguar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njoftimet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këto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seanca.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Njoftimet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ishin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bërë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adresën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dhënë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padi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paditësi.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kishte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përdorur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njëjtën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adresë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paraqiti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kërkesën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pezullimin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procesit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(shihni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17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sipër).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Njoftimet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dërguara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ose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firmosën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personalisht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prej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tij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ose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zëvendësit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tij.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paraqiti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ndonjë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kundërshtim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lidhje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adresat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klientit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tij.</w:t>
      </w:r>
    </w:p>
    <w:p w14:paraId="56DBA929" w14:textId="028D8C0B" w:rsidR="007962CC" w:rsidRPr="00774E92" w:rsidRDefault="007962CC" w:rsidP="007962C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20.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16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2012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pranoi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pretendimin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pjesërisht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urdhëroi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paguante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dëmshpërblime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kamata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shumën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861.672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EUR;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transferonte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garancinë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bankare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paditësi;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paguante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7.174.244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74E92">
        <w:rPr>
          <w:rFonts w:ascii="Garamond" w:hAnsi="Garamond" w:cs="Times New Roman"/>
          <w:color w:val="000000"/>
          <w:sz w:val="24"/>
          <w:szCs w:val="24"/>
        </w:rPr>
        <w:t>l</w:t>
      </w:r>
      <w:r w:rsidRPr="00774E92">
        <w:rPr>
          <w:rFonts w:ascii="Garamond" w:hAnsi="Garamond" w:cs="Times New Roman"/>
          <w:color w:val="000000"/>
          <w:sz w:val="24"/>
          <w:szCs w:val="24"/>
        </w:rPr>
        <w:t>ek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(përafërsisht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51.650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kohë)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pagesë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bërë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paditësi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ndaj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palëve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tjera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pasojë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masës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sigurimit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padisë.</w:t>
      </w:r>
    </w:p>
    <w:p w14:paraId="43F56BE7" w14:textId="077A2415" w:rsidR="007962CC" w:rsidRPr="00774E92" w:rsidRDefault="007962CC" w:rsidP="007962C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21.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ankimoi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vendim.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ankimin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ajo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njëjtën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adresë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dërgoi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njoftimet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seancat.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Apelit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njoftoi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gjitha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palët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seancat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njoftimi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publik.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18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prill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2013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Apelit,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praninë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përfaqësuesit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fuqi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vendimin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Ankimimi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çështje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ligjore,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përsëri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jepej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njëjta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adresë,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rrëzua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de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plano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Lartë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24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korrik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2014.</w:t>
      </w:r>
    </w:p>
    <w:p w14:paraId="393946DF" w14:textId="6F3C949E" w:rsidR="007962CC" w:rsidRPr="00774E92" w:rsidRDefault="007962CC" w:rsidP="007962C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22.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16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2015,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depozitoi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ankim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kushtetues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pretendonte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shkeljen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drejtës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t’u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dëgjuar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gjykata;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mosarsyetimin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vendimeve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gjykatës;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pjesëmarrjen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parregullt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gjyqtari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kolegjin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Apelit;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shkeljen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nenit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Protokollit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1.</w:t>
      </w:r>
    </w:p>
    <w:p w14:paraId="6560BD90" w14:textId="399983EC" w:rsidR="007962CC" w:rsidRPr="00774E92" w:rsidRDefault="007962CC" w:rsidP="007962C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16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korrik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2015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Kushtetuese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mbledhur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panel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përbërë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tre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gjyqtarë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shpalli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papranueshëm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ankimin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kushtetues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kërkuese.</w:t>
      </w:r>
    </w:p>
    <w:p w14:paraId="1EC71268" w14:textId="492BC409" w:rsidR="007962CC" w:rsidRPr="00774E92" w:rsidRDefault="009B5B49" w:rsidP="007962C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aps/>
          <w:color w:val="000000"/>
          <w:sz w:val="24"/>
          <w:szCs w:val="24"/>
        </w:rPr>
      </w:pPr>
      <w:r>
        <w:rPr>
          <w:rFonts w:ascii="Garamond" w:hAnsi="Garamond" w:cs="Times New Roman"/>
          <w:strike/>
          <w:color w:val="000000"/>
          <w:sz w:val="24"/>
          <w:szCs w:val="24"/>
        </w:rPr>
        <w:t xml:space="preserve"> </w:t>
      </w:r>
      <w:r w:rsidR="007962CC" w:rsidRPr="00774E92">
        <w:rPr>
          <w:rFonts w:ascii="Garamond" w:hAnsi="Garamond" w:cs="Times New Roman"/>
          <w:caps/>
          <w:color w:val="000000"/>
          <w:sz w:val="24"/>
          <w:szCs w:val="24"/>
        </w:rPr>
        <w:t>VLERËSIMI</w:t>
      </w:r>
      <w:r w:rsidR="008C29B0" w:rsidRPr="00774E92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="007962CC" w:rsidRPr="00774E92">
        <w:rPr>
          <w:rFonts w:ascii="Garamond" w:hAnsi="Garamond" w:cs="Times New Roman"/>
          <w:caps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="007962CC" w:rsidRPr="00774E92">
        <w:rPr>
          <w:rFonts w:ascii="Garamond" w:hAnsi="Garamond" w:cs="Times New Roman"/>
          <w:caps/>
          <w:color w:val="000000"/>
          <w:sz w:val="24"/>
          <w:szCs w:val="24"/>
        </w:rPr>
        <w:t>GJYKATËS</w:t>
      </w:r>
    </w:p>
    <w:p w14:paraId="5619D6DA" w14:textId="6ED09D6D" w:rsidR="007962CC" w:rsidRPr="00774E92" w:rsidRDefault="007962CC" w:rsidP="007962C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A.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Shkelja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dyshuar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nenit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6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§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1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Konventës</w:t>
      </w:r>
      <w:r w:rsidR="00774E92">
        <w:rPr>
          <w:rFonts w:ascii="Garamond" w:hAnsi="Garamond" w:cs="Times New Roman"/>
          <w:b/>
          <w:bCs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lidhje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drejtën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aksesit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gjykatë</w:t>
      </w:r>
    </w:p>
    <w:p w14:paraId="38545671" w14:textId="54345B6D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23.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argumentoi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drejta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akses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ishte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shkelur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shkak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kishte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siguruar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pjesëmarrjen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administratorit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gjitha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seancat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mbajtura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përpara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disa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seanca.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Rrjedhimisht,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pretendoi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ishte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gjendje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paraqiste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kundërshtimet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ndaj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pretendimeve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palës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kundërshtare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përpara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kishte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dhënë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mundësinë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duhur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komentonte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gjetjet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ekspertit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lidhje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shumën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dëmshpërblimit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pretenduar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pala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kundërshtare.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shpreh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njoftimet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seancave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gjyqësore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ishin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dërguar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dy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adresa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gabuara.</w:t>
      </w:r>
    </w:p>
    <w:p w14:paraId="16850073" w14:textId="77A4561C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24.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detyrë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caktojë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mënyrën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preferuar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komunikimit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palët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ndërgjyqëse,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duke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qenë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brendshme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janë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kushte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mira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vlerësuar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situatën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nisur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rrethana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praktike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(shihni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sz w:val="24"/>
          <w:szCs w:val="24"/>
        </w:rPr>
        <w:t>çështja</w:t>
      </w:r>
      <w:r w:rsidR="008C29B0" w:rsidRPr="00774E92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sz w:val="24"/>
          <w:szCs w:val="24"/>
        </w:rPr>
        <w:t>Gankin</w:t>
      </w:r>
      <w:r w:rsidR="008C29B0" w:rsidRPr="00774E92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sz w:val="24"/>
          <w:szCs w:val="24"/>
        </w:rPr>
        <w:t>tjerët</w:t>
      </w:r>
      <w:r w:rsidR="008C29B0" w:rsidRPr="00774E92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sz w:val="24"/>
          <w:szCs w:val="24"/>
        </w:rPr>
        <w:t>kundër</w:t>
      </w:r>
      <w:r w:rsidR="008C29B0" w:rsidRPr="00774E92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sz w:val="24"/>
          <w:szCs w:val="24"/>
        </w:rPr>
        <w:t>Rusisë,</w:t>
      </w:r>
      <w:r w:rsidR="008C29B0" w:rsidRPr="00774E92">
        <w:rPr>
          <w:rFonts w:ascii="Garamond" w:hAnsi="Garamond" w:cs="Times New Roman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sz w:val="24"/>
          <w:szCs w:val="24"/>
        </w:rPr>
        <w:t>nr.</w:t>
      </w:r>
      <w:r w:rsidR="008C29B0" w:rsidRPr="00774E92">
        <w:rPr>
          <w:rFonts w:ascii="Garamond" w:hAnsi="Garamond" w:cs="Times New Roman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sz w:val="24"/>
          <w:szCs w:val="24"/>
        </w:rPr>
        <w:t>2430/06,</w:t>
      </w:r>
      <w:r w:rsidR="008C29B0" w:rsidRPr="00774E92">
        <w:rPr>
          <w:rFonts w:ascii="Garamond" w:hAnsi="Garamond" w:cs="Times New Roman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sz w:val="24"/>
          <w:szCs w:val="24"/>
        </w:rPr>
        <w:t>1454/08,</w:t>
      </w:r>
      <w:r w:rsidR="008C29B0" w:rsidRPr="00774E92">
        <w:rPr>
          <w:rFonts w:ascii="Garamond" w:hAnsi="Garamond" w:cs="Times New Roman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sz w:val="24"/>
          <w:szCs w:val="24"/>
        </w:rPr>
        <w:t>11670/10</w:t>
      </w:r>
      <w:r w:rsidR="008C29B0" w:rsidRPr="00774E92">
        <w:rPr>
          <w:rFonts w:ascii="Garamond" w:hAnsi="Garamond" w:cs="Times New Roman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sz w:val="24"/>
          <w:szCs w:val="24"/>
        </w:rPr>
        <w:t>12938/12,</w:t>
      </w:r>
      <w:r w:rsidR="008C29B0" w:rsidRPr="00774E92">
        <w:rPr>
          <w:rFonts w:ascii="Garamond" w:hAnsi="Garamond" w:cs="Times New Roman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sz w:val="24"/>
          <w:szCs w:val="24"/>
        </w:rPr>
        <w:t>§</w:t>
      </w:r>
      <w:r w:rsidR="008C29B0" w:rsidRPr="00774E92">
        <w:rPr>
          <w:rFonts w:ascii="Garamond" w:hAnsi="Garamond" w:cs="Times New Roman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sz w:val="24"/>
          <w:szCs w:val="24"/>
        </w:rPr>
        <w:t>35,</w:t>
      </w:r>
      <w:r w:rsidR="008C29B0" w:rsidRPr="00774E92">
        <w:rPr>
          <w:rFonts w:ascii="Garamond" w:hAnsi="Garamond" w:cs="Times New Roman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sz w:val="24"/>
          <w:szCs w:val="24"/>
        </w:rPr>
        <w:t>31</w:t>
      </w:r>
      <w:r w:rsidR="008C29B0" w:rsidRPr="00774E92">
        <w:rPr>
          <w:rFonts w:ascii="Garamond" w:hAnsi="Garamond" w:cs="Times New Roman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sz w:val="24"/>
          <w:szCs w:val="24"/>
        </w:rPr>
        <w:t>m</w:t>
      </w:r>
      <w:r w:rsidRPr="00774E92">
        <w:rPr>
          <w:rFonts w:ascii="Garamond" w:hAnsi="Garamond" w:cs="Times New Roman"/>
          <w:color w:val="000000"/>
          <w:sz w:val="24"/>
          <w:szCs w:val="24"/>
        </w:rPr>
        <w:t>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2016).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Shtetet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Kontraktuese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kanë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përgjegjësinë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sigurohen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brendshme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kanë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vepruar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vigjilencën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njoftimin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palëve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mbi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procesin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qëllim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mos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kërcënohet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drejta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tyre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gjykim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drejtë.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Kjo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përgjegjësi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ekziston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bashkë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detyrimin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mos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kontribuojnë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krijuar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situata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cilat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lastRenderedPageBreak/>
        <w:t>ankohen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përpara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(shihni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sz w:val="24"/>
          <w:szCs w:val="24"/>
        </w:rPr>
        <w:t>çështja</w:t>
      </w:r>
      <w:r w:rsidR="008C29B0" w:rsidRPr="00774E92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sz w:val="24"/>
          <w:szCs w:val="24"/>
        </w:rPr>
        <w:t>Avotiņš</w:t>
      </w:r>
      <w:r w:rsidR="008C29B0" w:rsidRPr="00774E92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sz w:val="24"/>
          <w:szCs w:val="24"/>
        </w:rPr>
        <w:t>kundër</w:t>
      </w:r>
      <w:r w:rsidR="008C29B0" w:rsidRPr="00774E92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Letonisë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[GC],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nr.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sz w:val="24"/>
          <w:szCs w:val="24"/>
        </w:rPr>
        <w:t>17502/07</w:t>
      </w:r>
      <w:r w:rsidRP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§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124,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GJEDNJ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2016).</w:t>
      </w:r>
    </w:p>
    <w:p w14:paraId="076EF5A0" w14:textId="7688777D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25.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çështjen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fjalë,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dërgoi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gjitha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njoftimet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adresën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ajo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përdori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gjithë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korrespondencën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ankimin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ankimin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çështjet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ligjore.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njoftoi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gjitha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seancat.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Sipas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Gjykatës,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njoftoi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rregullisht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përfaqësuesin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zgjedhur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seancat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fakt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mori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pjesë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disa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(shihni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18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sipër)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shtyrjen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seancave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tjera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pranoi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disa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këto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kërkesa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(shihni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paragrafët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18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19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sipër).</w:t>
      </w:r>
    </w:p>
    <w:p w14:paraId="46D1B74B" w14:textId="178CD4EA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FF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26.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Vetëm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pasi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paraqit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mbajtur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13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mars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2012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shtyrjen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ose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dhënë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arsye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mungesën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tij,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vendosi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vazhdojë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praninë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kësaj,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administratori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morën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pjesë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tjera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përpara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dërguar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njoftimin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këto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seanca.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Sipas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këto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rrethana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tregojnë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përfaqësuesit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kanë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krijuar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situatën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cilën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po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ankohen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përpara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Gjykatës.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Gjithashtu,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vëren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kundërshtuar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adresat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dërguar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njoftimet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seancave.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kundërshtuar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lidhje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sjelljen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përpara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brendshme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ose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përpara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Gjykatës.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76718C9D" w14:textId="3EDB4580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27.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Pretendimi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mosmarrja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pjesë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administratorit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ndonjë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seancë,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pavarësisht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prania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përbën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shkeljen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drejtës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gjykim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drejtë,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mbështetet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ndonjë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dispozitë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ligjore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brendshme.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zgjodhi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përfaqësohej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atij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prokurën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përfaqësimit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autoritet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vepruar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emër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procese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civile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praktika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kërkon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prania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palëve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realizohet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përfaqësimin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avokatët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zgjedhur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prej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tyre.</w:t>
      </w:r>
    </w:p>
    <w:p w14:paraId="7D2C511A" w14:textId="30AF38B9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28.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lidhje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ankimin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kishte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mundësi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bënte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parashtrime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opinionin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ekspertit,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vëren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12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shkurtit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2012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shty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kërkesë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avokatit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mënyrë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jepte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komentet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tij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opinionin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ekspertit.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konsideron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kështu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morën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masat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kërkuara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siguruar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kishte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mundësinë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komentuar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opinionin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ekspertit.</w:t>
      </w:r>
    </w:p>
    <w:p w14:paraId="28304C35" w14:textId="6C5CF869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29.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vëren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paraqitur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ankim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lidhje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mënyrën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është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informuar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seancën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përpara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Apelit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Lartë.</w:t>
      </w:r>
    </w:p>
    <w:p w14:paraId="5FE8472C" w14:textId="354E7445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30.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Prandaj,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konkludon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tregues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brendshme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kanë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shkelur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drejtën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marrë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pjesë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proces,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paraqitur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argumentet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ose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kundërshtuar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konkluzionet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opinioneve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ekspertit.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ishin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vigjilente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informuar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procesin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mund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pritej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kjo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fundit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bënte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kujdes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marrë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postën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adresën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deklaruar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(shihni,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situatë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ngjashme,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çështja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Immoterra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International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Denia,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s.l.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Spanjës</w:t>
      </w:r>
      <w:r w:rsidRPr="00774E92">
        <w:rPr>
          <w:rFonts w:ascii="Garamond" w:hAnsi="Garamond" w:cs="Times New Roman"/>
          <w:color w:val="000000"/>
          <w:sz w:val="24"/>
          <w:szCs w:val="24"/>
        </w:rPr>
        <w:t>[Komiteti],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nr.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60484/16,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§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34,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26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2020,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referenca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mëtejshme).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është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përgjegjëse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situatën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cilën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ankohet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Gjykatë.</w:t>
      </w:r>
    </w:p>
    <w:p w14:paraId="6CFF4C7B" w14:textId="2BD6A816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31.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rrjedhojë,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kjo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pjesë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kërkesës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është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haptazi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pabazuar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duhet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refuzohet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përputhje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nenin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35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§§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3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(a)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4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Konventës.</w:t>
      </w:r>
    </w:p>
    <w:p w14:paraId="1926014C" w14:textId="165FD3B6" w:rsidR="007962CC" w:rsidRPr="00774E92" w:rsidRDefault="007962CC" w:rsidP="007962C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B.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Shkelje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tjera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b/>
          <w:bCs/>
          <w:color w:val="000000"/>
          <w:sz w:val="24"/>
          <w:szCs w:val="24"/>
        </w:rPr>
        <w:t>dyshuara</w:t>
      </w:r>
    </w:p>
    <w:p w14:paraId="620C88C3" w14:textId="0AB56B47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32.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depozitoi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ankim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shtesë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sipas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nenit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6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§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Konventës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pretendimin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brendshme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kishin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arsyetuar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mjaftueshëm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vendimet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tyre,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sidomos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lidhje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mënyrën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llogaritjes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dëmshpërblimit.</w:t>
      </w:r>
    </w:p>
    <w:p w14:paraId="15E79DF9" w14:textId="51C091B4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33.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lidhje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ankimin,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bie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dakord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Qeverinë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brendshme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kanë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arsyetuar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duhet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vendimet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tyre,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duke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trajtuar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pikat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ngritura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palët.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Arsyet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faktike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ligjore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vendimet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Rrethit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Apelit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pranuan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pretendimin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paraqitën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detaje.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Gjithashtu,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vendimi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Lartë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refuzuar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de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plano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ankimin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çështjet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ligjore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dhënë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lastRenderedPageBreak/>
        <w:t>arsye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shtjelluara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përbën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shkelje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nenit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6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§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(shihni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çështja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Marini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Shqipërisë</w:t>
      </w:r>
      <w:r w:rsidRP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nr.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3738/02,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§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106,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18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dhjetor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2007).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Prandaj,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ankimi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shkeljen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dyshuar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drejtës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vendim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arsyetuar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është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haptazi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pabazuar.</w:t>
      </w:r>
    </w:p>
    <w:p w14:paraId="71A419F8" w14:textId="7180834B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34.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paraqiti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ankimin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sipas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nenit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protokollit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nr.</w:t>
      </w:r>
      <w:r w:rsid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</w:t>
      </w:r>
      <w:r w:rsidR="00774E92">
        <w:rPr>
          <w:rFonts w:ascii="Garamond" w:hAnsi="Garamond" w:cs="Times New Roman"/>
          <w:color w:val="000000"/>
          <w:sz w:val="24"/>
          <w:szCs w:val="24"/>
        </w:rPr>
        <w:t>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pretendimin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shkeljes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drejtës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gëzimin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qetë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pronës,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sepse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urdhri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dëmshpërblim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përbënte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barrë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tepërt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mbi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vëren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çështje,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ankua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shumti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mënyrën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kombëtare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ishin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interpretuar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zbatuar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legjislacionin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brendshëm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procesin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ndërmjet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dy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palëve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private.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Nisur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vlerësimi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sipas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nenit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6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§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Konventës,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përsërit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kompetenca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verifikuar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legjislacioni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brendshëm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është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interpretuar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zbatuar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duhet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është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kufizuar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detyrë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zërë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vendin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brendshme,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sepse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roli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është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sigurohet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vendimet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atyre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mos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jenë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gabime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shkak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arbitraritetit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ose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përndryshe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haptazi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paarsyeshme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(shihni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çështja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Anheuser-Busch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Inc.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8C29B0"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Portugalisë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[GC],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nr.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73049/01,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§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83,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GJEDNJ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2007-I).</w:t>
      </w:r>
    </w:p>
    <w:p w14:paraId="3F8527FE" w14:textId="06C241F0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35.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arsye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dalë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konkluzionin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vendimet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brendshme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janë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ndikuar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ndonjë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element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arbitraritetit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ose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ato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përndryshe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janë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haptazi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paarsyeshme.</w:t>
      </w:r>
    </w:p>
    <w:p w14:paraId="725C2080" w14:textId="06C53408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36.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Nisur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nga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sipër,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arrin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përfundimin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vendimet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gjykatave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brendshme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çështjen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fjalë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nuk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përbëjnë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ndërhyrje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drejtën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shoqërisë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kërkuese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gëzuar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qetësisht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pasurinë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saj.</w:t>
      </w:r>
    </w:p>
    <w:p w14:paraId="5357B78C" w14:textId="2F55454C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37.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rrjedhojë,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kjo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pjesë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kërkesës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është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haptazi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pabazuar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duhet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refuzohet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përputhje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nenin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35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§§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3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(a)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4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Konventës.</w:t>
      </w:r>
    </w:p>
    <w:p w14:paraId="6729692C" w14:textId="4D7355FA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Për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këto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arsye,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Gjykata,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unanimisht,</w:t>
      </w:r>
    </w:p>
    <w:p w14:paraId="3AB4ABBB" w14:textId="179184A7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774E92">
        <w:rPr>
          <w:rFonts w:ascii="Garamond" w:hAnsi="Garamond" w:cs="Times New Roman"/>
          <w:i/>
          <w:iCs/>
          <w:color w:val="000000"/>
          <w:sz w:val="24"/>
          <w:szCs w:val="24"/>
        </w:rPr>
        <w:t>Shpall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kërkesën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papranueshme.</w:t>
      </w:r>
    </w:p>
    <w:p w14:paraId="0AE69E51" w14:textId="77777777" w:rsidR="006022FC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  <w:r w:rsidRPr="00774E92">
        <w:rPr>
          <w:rFonts w:ascii="Garamond" w:hAnsi="Garamond" w:cs="Times New Roman"/>
          <w:color w:val="000000"/>
          <w:sz w:val="24"/>
          <w:szCs w:val="24"/>
        </w:rPr>
        <w:t>Bërë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gjuhën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angleze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dhe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njoftuar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me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shkrim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më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19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tetor</w:t>
      </w:r>
      <w:r w:rsidR="008C29B0" w:rsidRPr="00774E9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74E92">
        <w:rPr>
          <w:rFonts w:ascii="Garamond" w:hAnsi="Garamond" w:cs="Times New Roman"/>
          <w:color w:val="000000"/>
          <w:sz w:val="24"/>
          <w:szCs w:val="24"/>
        </w:rPr>
        <w:t>2023.</w:t>
      </w:r>
      <w:r w:rsidR="006022FC" w:rsidRPr="006022FC">
        <w:rPr>
          <w:rFonts w:ascii="Garamond" w:hAnsi="Garamond" w:cs="Times New Roman"/>
          <w:b/>
          <w:color w:val="000000"/>
          <w:sz w:val="24"/>
          <w:szCs w:val="24"/>
        </w:rPr>
        <w:t xml:space="preserve"> </w:t>
      </w:r>
    </w:p>
    <w:p w14:paraId="0979CB44" w14:textId="77777777" w:rsidR="0003442E" w:rsidRDefault="0003442E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3442E" w14:paraId="013D7443" w14:textId="77777777" w:rsidTr="0003442E">
        <w:tc>
          <w:tcPr>
            <w:tcW w:w="4675" w:type="dxa"/>
          </w:tcPr>
          <w:p w14:paraId="44BCF12B" w14:textId="77777777" w:rsidR="0003442E" w:rsidRDefault="0003442E" w:rsidP="0003442E">
            <w:pPr>
              <w:autoSpaceDE w:val="0"/>
              <w:autoSpaceDN w:val="0"/>
              <w:adjustRightInd w:val="0"/>
              <w:ind w:firstLine="288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774E92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Olga Chernishova</w:t>
            </w:r>
            <w:r w:rsidRPr="006022FC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</w:p>
          <w:p w14:paraId="1F7CDC95" w14:textId="77777777" w:rsidR="0003442E" w:rsidRDefault="0003442E" w:rsidP="0003442E">
            <w:pPr>
              <w:tabs>
                <w:tab w:val="center" w:pos="1400"/>
                <w:tab w:val="center" w:pos="5940"/>
              </w:tabs>
              <w:autoSpaceDE w:val="0"/>
              <w:autoSpaceDN w:val="0"/>
              <w:adjustRightInd w:val="0"/>
              <w:ind w:firstLine="288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 w:rsidRPr="00774E92">
              <w:rPr>
                <w:rFonts w:ascii="Garamond" w:hAnsi="Garamond" w:cs="Times New Roman"/>
                <w:color w:val="000000"/>
                <w:sz w:val="24"/>
                <w:szCs w:val="24"/>
              </w:rPr>
              <w:t>ZËVENDËS</w: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>K</w:t>
            </w:r>
            <w:r w:rsidRPr="00774E92">
              <w:rPr>
                <w:rFonts w:ascii="Garamond" w:hAnsi="Garamond" w:cs="Times New Roman"/>
                <w:color w:val="000000"/>
                <w:sz w:val="24"/>
                <w:szCs w:val="24"/>
              </w:rPr>
              <w:t>ANCELARE</w:t>
            </w:r>
            <w:r w:rsidRPr="006022FC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9BA4595" w14:textId="77777777" w:rsidR="0003442E" w:rsidRDefault="0003442E" w:rsidP="0003442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68789C5" w14:textId="77777777" w:rsidR="0003442E" w:rsidRDefault="0003442E" w:rsidP="0003442E">
            <w:pPr>
              <w:tabs>
                <w:tab w:val="center" w:pos="1400"/>
                <w:tab w:val="center" w:pos="5940"/>
              </w:tabs>
              <w:autoSpaceDE w:val="0"/>
              <w:autoSpaceDN w:val="0"/>
              <w:adjustRightInd w:val="0"/>
              <w:ind w:firstLine="288"/>
              <w:jc w:val="right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774E92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Georgios A. Serghides</w:t>
            </w:r>
            <w:r w:rsidRPr="006022FC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</w:p>
          <w:p w14:paraId="28BD3C62" w14:textId="77777777" w:rsidR="0003442E" w:rsidRPr="00774E92" w:rsidRDefault="0003442E" w:rsidP="0003442E">
            <w:pPr>
              <w:tabs>
                <w:tab w:val="center" w:pos="1400"/>
                <w:tab w:val="center" w:pos="5940"/>
              </w:tabs>
              <w:autoSpaceDE w:val="0"/>
              <w:autoSpaceDN w:val="0"/>
              <w:adjustRightInd w:val="0"/>
              <w:ind w:firstLine="288"/>
              <w:jc w:val="right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 w:rsidRPr="00774E92">
              <w:rPr>
                <w:rFonts w:ascii="Garamond" w:hAnsi="Garamond" w:cs="Times New Roman"/>
                <w:color w:val="000000"/>
                <w:sz w:val="24"/>
                <w:szCs w:val="24"/>
              </w:rPr>
              <w:t>PRESIDENT</w:t>
            </w:r>
          </w:p>
          <w:p w14:paraId="7EC25211" w14:textId="77777777" w:rsidR="0003442E" w:rsidRPr="00774E92" w:rsidRDefault="0003442E" w:rsidP="0003442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  <w:p w14:paraId="3A0C3441" w14:textId="77777777" w:rsidR="0003442E" w:rsidRDefault="0003442E" w:rsidP="0003442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623270A" w14:textId="0DC19541" w:rsidR="007962CC" w:rsidRPr="00774E92" w:rsidRDefault="007962CC" w:rsidP="007962CC">
      <w:pPr>
        <w:tabs>
          <w:tab w:val="center" w:pos="1400"/>
          <w:tab w:val="center" w:pos="59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FFFFFF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977"/>
      </w:tblGrid>
      <w:tr w:rsidR="008C29B0" w:rsidRPr="00774E92" w14:paraId="5CFA3FB3" w14:textId="77777777" w:rsidTr="008C29B0">
        <w:tc>
          <w:tcPr>
            <w:tcW w:w="2405" w:type="dxa"/>
          </w:tcPr>
          <w:p w14:paraId="1D4332E5" w14:textId="2CFFDB67" w:rsidR="008C29B0" w:rsidRPr="00774E92" w:rsidRDefault="008C29B0" w:rsidP="008C29B0">
            <w:pPr>
              <w:tabs>
                <w:tab w:val="center" w:pos="1400"/>
                <w:tab w:val="center" w:pos="5940"/>
              </w:tabs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FFFF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0445E5" w14:textId="1B718A96" w:rsidR="008C29B0" w:rsidRPr="00774E92" w:rsidRDefault="008C29B0" w:rsidP="008C29B0">
            <w:pPr>
              <w:tabs>
                <w:tab w:val="center" w:pos="1400"/>
                <w:tab w:val="center" w:pos="5940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</w:tr>
    </w:tbl>
    <w:p w14:paraId="4789A000" w14:textId="77777777" w:rsidR="008C29B0" w:rsidRPr="00774E92" w:rsidRDefault="008C29B0" w:rsidP="007962CC">
      <w:pPr>
        <w:tabs>
          <w:tab w:val="center" w:pos="1400"/>
          <w:tab w:val="center" w:pos="59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FFFFFF"/>
          <w:sz w:val="24"/>
          <w:szCs w:val="24"/>
        </w:rPr>
      </w:pPr>
    </w:p>
    <w:p w14:paraId="532B753E" w14:textId="77777777" w:rsidR="007962CC" w:rsidRPr="00774E92" w:rsidRDefault="007962CC" w:rsidP="007962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25B4511F" w14:textId="77777777" w:rsidR="007962CC" w:rsidRPr="00774E92" w:rsidRDefault="007962CC" w:rsidP="007962CC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</w:rPr>
      </w:pPr>
    </w:p>
    <w:sectPr w:rsidR="007962CC" w:rsidRPr="00774E92" w:rsidSect="005A2FF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1D"/>
    <w:rsid w:val="0003442E"/>
    <w:rsid w:val="00094CB5"/>
    <w:rsid w:val="000F74B6"/>
    <w:rsid w:val="00100171"/>
    <w:rsid w:val="0031465F"/>
    <w:rsid w:val="00420FCC"/>
    <w:rsid w:val="00495544"/>
    <w:rsid w:val="005A2FFA"/>
    <w:rsid w:val="006022FC"/>
    <w:rsid w:val="00774E92"/>
    <w:rsid w:val="007962CC"/>
    <w:rsid w:val="007A461B"/>
    <w:rsid w:val="00801A72"/>
    <w:rsid w:val="00821878"/>
    <w:rsid w:val="00854ADE"/>
    <w:rsid w:val="008C29B0"/>
    <w:rsid w:val="008C7EE7"/>
    <w:rsid w:val="00915568"/>
    <w:rsid w:val="009B5B49"/>
    <w:rsid w:val="00AD6F91"/>
    <w:rsid w:val="00CC16DD"/>
    <w:rsid w:val="00DD3C70"/>
    <w:rsid w:val="00DE1916"/>
    <w:rsid w:val="00E95D1D"/>
    <w:rsid w:val="00F2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E6248"/>
  <w15:chartTrackingRefBased/>
  <w15:docId w15:val="{3A9E48BA-2D38-4045-9356-ED38CC3A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2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HRPlaceholder">
    <w:name w:val="ECHR_Placeholder"/>
    <w:aliases w:val="_Placeholder"/>
    <w:rsid w:val="007962CC"/>
    <w:pPr>
      <w:tabs>
        <w:tab w:val="center" w:pos="1400"/>
        <w:tab w:val="center" w:pos="5940"/>
      </w:tabs>
      <w:autoSpaceDE w:val="0"/>
      <w:autoSpaceDN w:val="0"/>
      <w:adjustRightInd w:val="0"/>
      <w:spacing w:before="720" w:after="0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JuParaLast">
    <w:name w:val="Ju_Para_Last"/>
    <w:aliases w:val="_Para_Spaced"/>
    <w:basedOn w:val="Normal"/>
    <w:uiPriority w:val="99"/>
    <w:rsid w:val="007962CC"/>
    <w:pPr>
      <w:keepNext/>
      <w:keepLines/>
      <w:autoSpaceDE w:val="0"/>
      <w:autoSpaceDN w:val="0"/>
      <w:adjustRightInd w:val="0"/>
      <w:spacing w:before="240" w:after="240" w:line="240" w:lineRule="auto"/>
      <w:ind w:firstLine="28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cList">
    <w:name w:val="Dec_List"/>
    <w:aliases w:val="_List"/>
    <w:basedOn w:val="Normal"/>
    <w:uiPriority w:val="99"/>
    <w:rsid w:val="007962CC"/>
    <w:pPr>
      <w:autoSpaceDE w:val="0"/>
      <w:autoSpaceDN w:val="0"/>
      <w:adjustRightInd w:val="0"/>
      <w:spacing w:before="280" w:after="60" w:line="240" w:lineRule="auto"/>
      <w:ind w:left="28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HA">
    <w:name w:val="Ju_H_A"/>
    <w:aliases w:val="_Head_3"/>
    <w:basedOn w:val="Heading3"/>
    <w:next w:val="JuPara"/>
    <w:uiPriority w:val="99"/>
    <w:rsid w:val="007962CC"/>
    <w:pPr>
      <w:tabs>
        <w:tab w:val="left" w:pos="360"/>
      </w:tabs>
      <w:autoSpaceDE w:val="0"/>
      <w:autoSpaceDN w:val="0"/>
      <w:adjustRightInd w:val="0"/>
      <w:spacing w:before="100" w:after="240" w:line="240" w:lineRule="auto"/>
      <w:jc w:val="both"/>
      <w:outlineLvl w:val="9"/>
    </w:pPr>
    <w:rPr>
      <w:rFonts w:ascii="Times New Roman" w:eastAsiaTheme="minorHAnsi" w:hAnsi="Times New Roman" w:cs="Times New Roman"/>
      <w:b/>
      <w:bCs/>
      <w:color w:val="auto"/>
    </w:rPr>
  </w:style>
  <w:style w:type="paragraph" w:customStyle="1" w:styleId="JuHHead">
    <w:name w:val="Ju_H_Head"/>
    <w:aliases w:val="_Head_1"/>
    <w:basedOn w:val="Heading1"/>
    <w:next w:val="JuPara"/>
    <w:uiPriority w:val="99"/>
    <w:rsid w:val="007962CC"/>
    <w:pPr>
      <w:tabs>
        <w:tab w:val="left" w:pos="360"/>
      </w:tabs>
      <w:autoSpaceDE w:val="0"/>
      <w:autoSpaceDN w:val="0"/>
      <w:adjustRightInd w:val="0"/>
      <w:spacing w:before="100" w:after="240" w:line="240" w:lineRule="auto"/>
      <w:jc w:val="both"/>
      <w:outlineLvl w:val="9"/>
    </w:pPr>
    <w:rPr>
      <w:rFonts w:ascii="Times New Roman" w:eastAsiaTheme="minorHAnsi" w:hAnsi="Times New Roman" w:cs="Times New Roman"/>
      <w:caps/>
      <w:color w:val="auto"/>
      <w:sz w:val="28"/>
      <w:szCs w:val="28"/>
    </w:rPr>
  </w:style>
  <w:style w:type="paragraph" w:customStyle="1" w:styleId="JuJudges">
    <w:name w:val="Ju_Judges"/>
    <w:aliases w:val="_Judges"/>
    <w:basedOn w:val="Normal"/>
    <w:uiPriority w:val="99"/>
    <w:rsid w:val="007962CC"/>
    <w:pPr>
      <w:tabs>
        <w:tab w:val="left" w:pos="560"/>
        <w:tab w:val="left" w:pos="11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cHCase">
    <w:name w:val="Dec_H_Case"/>
    <w:aliases w:val="_Title_3"/>
    <w:basedOn w:val="JuPara"/>
    <w:next w:val="JuPara"/>
    <w:uiPriority w:val="99"/>
    <w:rsid w:val="007962CC"/>
    <w:pPr>
      <w:keepNext/>
      <w:keepLines/>
      <w:spacing w:after="280"/>
      <w:jc w:val="center"/>
    </w:pPr>
  </w:style>
  <w:style w:type="paragraph" w:customStyle="1" w:styleId="DecHTitle">
    <w:name w:val="Dec_H_Title"/>
    <w:aliases w:val="_Title_1"/>
    <w:basedOn w:val="JuPara"/>
    <w:next w:val="JuPara"/>
    <w:uiPriority w:val="99"/>
    <w:rsid w:val="007962CC"/>
    <w:pPr>
      <w:keepNext/>
      <w:keepLines/>
      <w:spacing w:after="240"/>
      <w:jc w:val="center"/>
    </w:pPr>
    <w:rPr>
      <w:sz w:val="28"/>
      <w:szCs w:val="28"/>
    </w:rPr>
  </w:style>
  <w:style w:type="paragraph" w:customStyle="1" w:styleId="JuPara">
    <w:name w:val="Ju_Para"/>
    <w:aliases w:val="_Para"/>
    <w:basedOn w:val="Normal"/>
    <w:uiPriority w:val="99"/>
    <w:rsid w:val="007962CC"/>
    <w:pPr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2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62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C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C006E84B852F476391F7C3C0442E2C4E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1377-16</Nr_x002e__x0020_akti>
    <Data_x0020_e_x0020_Krijimit xmlns="0e656187-b300-4fb0-8bf4-3a50f872073c">2023-11-15T14:14:47Z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2023-11-13T23:00:00Z</Date_x0020_protokolli>
    <Titulli xmlns="0e656187-b300-4fb0-8bf4-3a50f872073c">Prodhim veshje nr. 2 sh.a kunër Shqipërisë</Titulli>
    <Modifikuesi xmlns="0e656187-b300-4fb0-8bf4-3a50f872073c">Fjora.Cahani</Modifikuesi>
    <Nr_x002e__x0020_prot_x0020_QBZ xmlns="0e656187-b300-4fb0-8bf4-3a50f872073c">1704-2</Nr_x002e__x0020_prot_x0020_QBZ>
    <Data_x0020_e_x0020_Modifikimit xmlns="0e656187-b300-4fb0-8bf4-3a50f872073c">2023-11-16T10:27:13Z</Data_x0020_e_x0020_Modifikimit>
    <Dekretuar xmlns="0e656187-b300-4fb0-8bf4-3a50f872073c">false</Dekretuar>
    <Data xmlns="0e656187-b300-4fb0-8bf4-3a50f872073c">2023-10-18T22:00:00Z</Data>
    <Nr_x002e__x0020_protokolli_x0020_i_x0020_aktit xmlns="0e656187-b300-4fb0-8bf4-3a50f872073c">6146/1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C006E84B852F476391F7C3C0442E2C4E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5A7B573-3A7C-4211-81D4-34037B73F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93F778-0E27-4DA4-A481-6755A9D3C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9983A-0F9B-4DD4-A603-F947730B0A7B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4.xml><?xml version="1.0" encoding="utf-8"?>
<ds:datastoreItem xmlns:ds="http://schemas.openxmlformats.org/officeDocument/2006/customXml" ds:itemID="{126EFB2A-ED2F-482C-AF89-39D5607600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6FC0F5-92F0-4070-AC68-4CDEC121B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Prodhim veshje nr. 2 sh.a kunër Shqipërisë</vt:lpstr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Prodhim veshje nr. 2 sh.a kunër Shqipërisë</dc:title>
  <dc:creator>Entela Suli</dc:creator>
  <cp:lastModifiedBy>Jonida Zaharia</cp:lastModifiedBy>
  <cp:revision>7</cp:revision>
  <dcterms:created xsi:type="dcterms:W3CDTF">2024-06-07T11:12:00Z</dcterms:created>
  <dcterms:modified xsi:type="dcterms:W3CDTF">2024-06-07T11:13:00Z</dcterms:modified>
</cp:coreProperties>
</file>