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E49EA" w14:textId="12B48F41" w:rsidR="00391EA1" w:rsidRPr="0053783F" w:rsidRDefault="00DA2AC0" w:rsidP="00DA2AC0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</w:rPr>
      </w:pPr>
      <w:r w:rsidRPr="0053783F">
        <w:rPr>
          <w:rFonts w:ascii="Garamond" w:hAnsi="Garamond"/>
          <w:sz w:val="24"/>
          <w:szCs w:val="24"/>
        </w:rPr>
        <w:t xml:space="preserve">GJYKATA EVROPIANE </w:t>
      </w:r>
      <w:r w:rsidR="0053783F">
        <w:rPr>
          <w:rFonts w:ascii="Garamond" w:hAnsi="Garamond"/>
          <w:sz w:val="24"/>
          <w:szCs w:val="24"/>
        </w:rPr>
        <w:t>PËR</w:t>
      </w:r>
      <w:r w:rsidRPr="0053783F">
        <w:rPr>
          <w:rFonts w:ascii="Garamond" w:hAnsi="Garamond"/>
          <w:sz w:val="24"/>
          <w:szCs w:val="24"/>
        </w:rPr>
        <w:t xml:space="preserve"> TË DREJTA</w:t>
      </w:r>
      <w:r w:rsidR="0053783F">
        <w:rPr>
          <w:rFonts w:ascii="Garamond" w:hAnsi="Garamond"/>
          <w:sz w:val="24"/>
          <w:szCs w:val="24"/>
        </w:rPr>
        <w:t>T</w:t>
      </w:r>
      <w:r w:rsidRPr="0053783F">
        <w:rPr>
          <w:rFonts w:ascii="Garamond" w:hAnsi="Garamond"/>
          <w:sz w:val="24"/>
          <w:szCs w:val="24"/>
        </w:rPr>
        <w:t xml:space="preserve"> </w:t>
      </w:r>
      <w:r w:rsidR="0053783F">
        <w:rPr>
          <w:rFonts w:ascii="Garamond" w:hAnsi="Garamond"/>
          <w:sz w:val="24"/>
          <w:szCs w:val="24"/>
        </w:rPr>
        <w:t>E</w:t>
      </w:r>
      <w:r w:rsidRPr="0053783F">
        <w:rPr>
          <w:rFonts w:ascii="Garamond" w:hAnsi="Garamond"/>
          <w:sz w:val="24"/>
          <w:szCs w:val="24"/>
        </w:rPr>
        <w:t xml:space="preserve"> NJERIUT</w:t>
      </w:r>
    </w:p>
    <w:p w14:paraId="74C65039" w14:textId="77777777" w:rsidR="00391EA1" w:rsidRPr="0053783F" w:rsidRDefault="00391EA1" w:rsidP="00DA2AC0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sz w:val="24"/>
          <w:szCs w:val="24"/>
        </w:rPr>
      </w:pPr>
    </w:p>
    <w:p w14:paraId="7700A014" w14:textId="77777777" w:rsidR="00391EA1" w:rsidRPr="0053783F" w:rsidRDefault="00391EA1" w:rsidP="00DA2AC0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sz w:val="24"/>
          <w:szCs w:val="24"/>
        </w:rPr>
      </w:pPr>
      <w:r w:rsidRPr="0053783F">
        <w:rPr>
          <w:rFonts w:ascii="Garamond" w:hAnsi="Garamond"/>
          <w:sz w:val="24"/>
          <w:szCs w:val="24"/>
        </w:rPr>
        <w:t>SEKSIONI I TRETË</w:t>
      </w:r>
    </w:p>
    <w:p w14:paraId="1B6397DE" w14:textId="77777777" w:rsidR="00DA2AC0" w:rsidRPr="0053783F" w:rsidRDefault="00DA2AC0" w:rsidP="00DA2AC0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sz w:val="24"/>
          <w:szCs w:val="24"/>
        </w:rPr>
      </w:pPr>
    </w:p>
    <w:p w14:paraId="3F142540" w14:textId="7910FA69" w:rsidR="009C67F8" w:rsidRPr="0053783F" w:rsidRDefault="009C67F8" w:rsidP="00DA2AC0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b/>
          <w:sz w:val="24"/>
          <w:szCs w:val="24"/>
        </w:rPr>
      </w:pPr>
      <w:r w:rsidRPr="0053783F">
        <w:rPr>
          <w:rFonts w:ascii="Garamond" w:hAnsi="Garamond"/>
          <w:sz w:val="24"/>
          <w:szCs w:val="24"/>
        </w:rPr>
        <w:t>VENDIM</w:t>
      </w:r>
    </w:p>
    <w:p w14:paraId="20C05288" w14:textId="3EE6A179" w:rsidR="009C67F8" w:rsidRPr="00043350" w:rsidRDefault="009C67F8" w:rsidP="00DA2AC0">
      <w:pPr>
        <w:pStyle w:val="NoSpacing"/>
        <w:ind w:firstLine="284"/>
        <w:jc w:val="center"/>
        <w:rPr>
          <w:rFonts w:ascii="Garamond" w:hAnsi="Garamond"/>
          <w:i/>
          <w:sz w:val="24"/>
          <w:szCs w:val="24"/>
          <w:lang w:val="sq-AL"/>
        </w:rPr>
      </w:pPr>
      <w:r w:rsidRPr="00043350">
        <w:rPr>
          <w:rFonts w:ascii="Garamond" w:hAnsi="Garamond"/>
          <w:i/>
          <w:sz w:val="24"/>
          <w:szCs w:val="24"/>
          <w:lang w:val="sq-AL"/>
        </w:rPr>
        <w:t>K</w:t>
      </w:r>
      <w:r w:rsidR="00186D27" w:rsidRPr="00043350">
        <w:rPr>
          <w:rFonts w:ascii="Garamond" w:hAnsi="Garamond"/>
          <w:i/>
          <w:sz w:val="24"/>
          <w:szCs w:val="24"/>
          <w:lang w:val="sq-AL"/>
        </w:rPr>
        <w:t>ë</w:t>
      </w:r>
      <w:r w:rsidRPr="00043350">
        <w:rPr>
          <w:rFonts w:ascii="Garamond" w:hAnsi="Garamond"/>
          <w:i/>
          <w:sz w:val="24"/>
          <w:szCs w:val="24"/>
          <w:lang w:val="sq-AL"/>
        </w:rPr>
        <w:t xml:space="preserve">rkesa nr. </w:t>
      </w:r>
      <w:r w:rsidR="0069730D" w:rsidRPr="00043350">
        <w:rPr>
          <w:rFonts w:ascii="Garamond" w:hAnsi="Garamond"/>
          <w:i/>
          <w:sz w:val="24"/>
          <w:szCs w:val="24"/>
          <w:lang w:val="sq-AL"/>
        </w:rPr>
        <w:t>1</w:t>
      </w:r>
      <w:r w:rsidR="00600F82" w:rsidRPr="00043350">
        <w:rPr>
          <w:rFonts w:ascii="Garamond" w:hAnsi="Garamond"/>
          <w:i/>
          <w:sz w:val="24"/>
          <w:szCs w:val="24"/>
          <w:lang w:val="sq-AL"/>
        </w:rPr>
        <w:t>1674/17</w:t>
      </w:r>
    </w:p>
    <w:p w14:paraId="7D724D9B" w14:textId="77777777" w:rsidR="00DA2AC0" w:rsidRPr="0053783F" w:rsidRDefault="00DA2AC0" w:rsidP="00DA2AC0">
      <w:pPr>
        <w:pStyle w:val="NoSpacing"/>
        <w:ind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03053486" w14:textId="6AA07DAC" w:rsidR="009C67F8" w:rsidRPr="0053783F" w:rsidRDefault="0053783F" w:rsidP="0053783F">
      <w:pPr>
        <w:pStyle w:val="NoSpacing"/>
        <w:ind w:firstLine="284"/>
        <w:jc w:val="center"/>
        <w:rPr>
          <w:rFonts w:ascii="Garamond" w:hAnsi="Garamond"/>
          <w:b/>
          <w:sz w:val="24"/>
          <w:szCs w:val="24"/>
          <w:lang w:val="sq-AL"/>
        </w:rPr>
      </w:pPr>
      <w:r w:rsidRPr="0053783F">
        <w:rPr>
          <w:rFonts w:ascii="Garamond" w:hAnsi="Garamond"/>
          <w:b/>
          <w:sz w:val="24"/>
          <w:szCs w:val="24"/>
          <w:lang w:val="sq-AL"/>
        </w:rPr>
        <w:t>SOKOL GAZULLI KUNDËR SHQIPËRISË</w:t>
      </w:r>
    </w:p>
    <w:p w14:paraId="2A1602D0" w14:textId="77777777" w:rsidR="009C67F8" w:rsidRPr="0053783F" w:rsidRDefault="009C67F8" w:rsidP="00DA2AC0">
      <w:pPr>
        <w:pStyle w:val="NoSpacing"/>
        <w:ind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6E314E5F" w14:textId="0365401C" w:rsidR="00391EA1" w:rsidRPr="0053783F" w:rsidRDefault="00391EA1" w:rsidP="00DA2AC0">
      <w:pPr>
        <w:pStyle w:val="ECHRPara"/>
        <w:rPr>
          <w:rFonts w:ascii="Garamond" w:hAnsi="Garamond"/>
          <w:szCs w:val="24"/>
          <w:lang w:val="sq-AL"/>
        </w:rPr>
      </w:pPr>
      <w:r w:rsidRPr="0053783F">
        <w:rPr>
          <w:rFonts w:ascii="Garamond" w:hAnsi="Garamond"/>
          <w:szCs w:val="24"/>
          <w:lang w:val="sq-AL"/>
        </w:rPr>
        <w:t xml:space="preserve">Gjykata Evropiane e të Drejtave të Njeriut (Seksioni i Tretë), e mbledhur </w:t>
      </w:r>
      <w:r w:rsidR="009C67F8" w:rsidRPr="0053783F">
        <w:rPr>
          <w:rFonts w:ascii="Garamond" w:hAnsi="Garamond"/>
          <w:szCs w:val="24"/>
          <w:lang w:val="sq-AL"/>
        </w:rPr>
        <w:t>m</w:t>
      </w:r>
      <w:r w:rsidR="00186D27" w:rsidRPr="0053783F">
        <w:rPr>
          <w:rFonts w:ascii="Garamond" w:hAnsi="Garamond"/>
          <w:szCs w:val="24"/>
          <w:lang w:val="sq-AL"/>
        </w:rPr>
        <w:t>ë</w:t>
      </w:r>
      <w:r w:rsidR="009C67F8" w:rsidRPr="0053783F">
        <w:rPr>
          <w:rFonts w:ascii="Garamond" w:hAnsi="Garamond"/>
          <w:szCs w:val="24"/>
          <w:lang w:val="sq-AL"/>
        </w:rPr>
        <w:t xml:space="preserve"> </w:t>
      </w:r>
      <w:r w:rsidR="0069730D" w:rsidRPr="0053783F">
        <w:rPr>
          <w:rFonts w:ascii="Garamond" w:hAnsi="Garamond"/>
          <w:szCs w:val="24"/>
          <w:lang w:val="sq-AL"/>
        </w:rPr>
        <w:t>1</w:t>
      </w:r>
      <w:r w:rsidR="0058317D" w:rsidRPr="0053783F">
        <w:rPr>
          <w:rFonts w:ascii="Garamond" w:hAnsi="Garamond"/>
          <w:szCs w:val="24"/>
          <w:lang w:val="sq-AL"/>
        </w:rPr>
        <w:t>2</w:t>
      </w:r>
      <w:r w:rsidR="0069730D" w:rsidRPr="0053783F">
        <w:rPr>
          <w:rFonts w:ascii="Garamond" w:hAnsi="Garamond"/>
          <w:szCs w:val="24"/>
          <w:lang w:val="sq-AL"/>
        </w:rPr>
        <w:t xml:space="preserve"> </w:t>
      </w:r>
      <w:r w:rsidR="0053783F">
        <w:rPr>
          <w:rFonts w:ascii="Garamond" w:hAnsi="Garamond"/>
          <w:szCs w:val="24"/>
          <w:lang w:val="sq-AL"/>
        </w:rPr>
        <w:t>s</w:t>
      </w:r>
      <w:r w:rsidR="0069730D" w:rsidRPr="0053783F">
        <w:rPr>
          <w:rFonts w:ascii="Garamond" w:hAnsi="Garamond"/>
          <w:szCs w:val="24"/>
          <w:lang w:val="sq-AL"/>
        </w:rPr>
        <w:t>htator</w:t>
      </w:r>
      <w:r w:rsidR="009C67F8" w:rsidRPr="0053783F">
        <w:rPr>
          <w:rFonts w:ascii="Garamond" w:hAnsi="Garamond"/>
          <w:szCs w:val="24"/>
          <w:lang w:val="sq-AL"/>
        </w:rPr>
        <w:t xml:space="preserve"> 2023 </w:t>
      </w:r>
      <w:r w:rsidRPr="0053783F">
        <w:rPr>
          <w:rFonts w:ascii="Garamond" w:hAnsi="Garamond"/>
          <w:szCs w:val="24"/>
          <w:lang w:val="sq-AL"/>
        </w:rPr>
        <w:t xml:space="preserve">si një </w:t>
      </w:r>
      <w:r w:rsidR="009C67F8" w:rsidRPr="0053783F">
        <w:rPr>
          <w:rFonts w:ascii="Garamond" w:hAnsi="Garamond"/>
          <w:szCs w:val="24"/>
          <w:lang w:val="sq-AL"/>
        </w:rPr>
        <w:t>Komitet</w:t>
      </w:r>
      <w:r w:rsidRPr="0053783F">
        <w:rPr>
          <w:rFonts w:ascii="Garamond" w:hAnsi="Garamond"/>
          <w:szCs w:val="24"/>
          <w:lang w:val="sq-AL"/>
        </w:rPr>
        <w:t xml:space="preserve"> </w:t>
      </w:r>
      <w:r w:rsidR="009C67F8" w:rsidRPr="0053783F">
        <w:rPr>
          <w:rFonts w:ascii="Garamond" w:hAnsi="Garamond"/>
          <w:szCs w:val="24"/>
          <w:lang w:val="sq-AL"/>
        </w:rPr>
        <w:t>i</w:t>
      </w:r>
      <w:r w:rsidRPr="0053783F">
        <w:rPr>
          <w:rFonts w:ascii="Garamond" w:hAnsi="Garamond"/>
          <w:szCs w:val="24"/>
          <w:lang w:val="sq-AL"/>
        </w:rPr>
        <w:t xml:space="preserve"> përbërë nga: </w:t>
      </w:r>
    </w:p>
    <w:p w14:paraId="74987DBB" w14:textId="2DF566C1" w:rsidR="00391EA1" w:rsidRPr="0053783F" w:rsidRDefault="0058317D" w:rsidP="00DA2AC0">
      <w:pPr>
        <w:pStyle w:val="ECHRDecisionBody"/>
        <w:ind w:firstLine="284"/>
        <w:rPr>
          <w:rFonts w:ascii="Garamond" w:hAnsi="Garamond"/>
          <w:i/>
          <w:szCs w:val="24"/>
          <w:lang w:val="sq-AL"/>
        </w:rPr>
      </w:pPr>
      <w:r w:rsidRPr="0053783F">
        <w:rPr>
          <w:rFonts w:ascii="Garamond" w:hAnsi="Garamond"/>
          <w:szCs w:val="24"/>
          <w:lang w:val="sq-AL"/>
        </w:rPr>
        <w:t>Georgios A. Serghides</w:t>
      </w:r>
      <w:r w:rsidR="00391EA1" w:rsidRPr="0053783F">
        <w:rPr>
          <w:rFonts w:ascii="Garamond" w:hAnsi="Garamond"/>
          <w:szCs w:val="24"/>
          <w:lang w:val="sq-AL"/>
        </w:rPr>
        <w:t>,</w:t>
      </w:r>
      <w:r w:rsidR="00391EA1" w:rsidRPr="0053783F">
        <w:rPr>
          <w:rFonts w:ascii="Garamond" w:hAnsi="Garamond"/>
          <w:i/>
          <w:szCs w:val="24"/>
          <w:lang w:val="sq-AL"/>
        </w:rPr>
        <w:t xml:space="preserve"> </w:t>
      </w:r>
      <w:r w:rsidR="0053783F" w:rsidRPr="0053783F">
        <w:rPr>
          <w:rFonts w:ascii="Garamond" w:hAnsi="Garamond"/>
          <w:i/>
          <w:szCs w:val="24"/>
          <w:lang w:val="sq-AL"/>
        </w:rPr>
        <w:t>kryetar</w:t>
      </w:r>
      <w:r w:rsidR="00391EA1" w:rsidRPr="0053783F">
        <w:rPr>
          <w:rFonts w:ascii="Garamond" w:hAnsi="Garamond"/>
          <w:i/>
          <w:szCs w:val="24"/>
          <w:lang w:val="sq-AL"/>
        </w:rPr>
        <w:t>,</w:t>
      </w:r>
    </w:p>
    <w:p w14:paraId="191C6C71" w14:textId="2AE4CCB4" w:rsidR="00391EA1" w:rsidRPr="0053783F" w:rsidRDefault="009C67F8" w:rsidP="00DA2AC0">
      <w:pPr>
        <w:pStyle w:val="ECHRDecisionBody"/>
        <w:ind w:firstLine="284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>Darian Pavli</w:t>
      </w:r>
      <w:r w:rsidR="00391EA1" w:rsidRPr="0053783F">
        <w:rPr>
          <w:rFonts w:ascii="Garamond" w:hAnsi="Garamond"/>
          <w:iCs/>
          <w:szCs w:val="24"/>
          <w:lang w:val="sq-AL"/>
        </w:rPr>
        <w:t>,</w:t>
      </w:r>
    </w:p>
    <w:p w14:paraId="63BBDBC8" w14:textId="268DD921" w:rsidR="009C67F8" w:rsidRPr="0053783F" w:rsidRDefault="009C67F8" w:rsidP="00DA2AC0">
      <w:pPr>
        <w:pStyle w:val="ECHRDecisionBody"/>
        <w:ind w:firstLine="284"/>
        <w:rPr>
          <w:rFonts w:ascii="Garamond" w:hAnsi="Garamond"/>
          <w:i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 xml:space="preserve">Oddný Mjöll Arnardóttir, </w:t>
      </w:r>
      <w:r w:rsidRPr="0053783F">
        <w:rPr>
          <w:rFonts w:ascii="Garamond" w:hAnsi="Garamond"/>
          <w:i/>
          <w:szCs w:val="24"/>
          <w:lang w:val="sq-AL"/>
        </w:rPr>
        <w:t>gjyqtar</w:t>
      </w:r>
      <w:r w:rsidR="00186D27" w:rsidRPr="0053783F">
        <w:rPr>
          <w:rFonts w:ascii="Garamond" w:hAnsi="Garamond"/>
          <w:i/>
          <w:szCs w:val="24"/>
          <w:lang w:val="sq-AL"/>
        </w:rPr>
        <w:t>ë</w:t>
      </w:r>
    </w:p>
    <w:p w14:paraId="1FE2CEED" w14:textId="770ED427" w:rsidR="00391EA1" w:rsidRPr="0053783F" w:rsidRDefault="00391EA1" w:rsidP="00DA2AC0">
      <w:pPr>
        <w:pStyle w:val="ECHRDecisionBody"/>
        <w:ind w:firstLine="284"/>
        <w:rPr>
          <w:rFonts w:ascii="Garamond" w:hAnsi="Garamond"/>
          <w:szCs w:val="24"/>
          <w:lang w:val="sq-AL"/>
        </w:rPr>
      </w:pPr>
      <w:r w:rsidRPr="0053783F">
        <w:rPr>
          <w:rFonts w:ascii="Garamond" w:hAnsi="Garamond"/>
          <w:szCs w:val="24"/>
          <w:lang w:val="sq-AL"/>
        </w:rPr>
        <w:t xml:space="preserve">dhe </w:t>
      </w:r>
      <w:r w:rsidR="0058317D" w:rsidRPr="0053783F">
        <w:rPr>
          <w:rFonts w:ascii="Garamond" w:hAnsi="Garamond"/>
          <w:szCs w:val="24"/>
          <w:lang w:val="sq-AL"/>
        </w:rPr>
        <w:t>Olga Chernishova</w:t>
      </w:r>
      <w:r w:rsidR="006772D7" w:rsidRPr="0053783F">
        <w:rPr>
          <w:rFonts w:ascii="Garamond" w:hAnsi="Garamond"/>
          <w:szCs w:val="24"/>
          <w:lang w:val="sq-AL"/>
        </w:rPr>
        <w:t>,</w:t>
      </w:r>
      <w:r w:rsidR="009C67F8" w:rsidRPr="0053783F">
        <w:rPr>
          <w:rFonts w:ascii="Garamond" w:hAnsi="Garamond"/>
          <w:szCs w:val="24"/>
          <w:lang w:val="sq-AL"/>
        </w:rPr>
        <w:t xml:space="preserve"> </w:t>
      </w:r>
      <w:r w:rsidR="0053783F" w:rsidRPr="0053783F">
        <w:rPr>
          <w:rFonts w:ascii="Garamond" w:hAnsi="Garamond"/>
          <w:i/>
          <w:iCs/>
          <w:szCs w:val="24"/>
          <w:lang w:val="sq-AL"/>
        </w:rPr>
        <w:t>zëvendëssekretare</w:t>
      </w:r>
      <w:r w:rsidR="008E47E2">
        <w:rPr>
          <w:rFonts w:ascii="Garamond" w:hAnsi="Garamond"/>
          <w:i/>
          <w:iCs/>
          <w:szCs w:val="24"/>
          <w:lang w:val="sq-AL"/>
        </w:rPr>
        <w:t xml:space="preserve"> </w:t>
      </w:r>
      <w:r w:rsidR="006772D7" w:rsidRPr="0053783F">
        <w:rPr>
          <w:rFonts w:ascii="Garamond" w:hAnsi="Garamond"/>
          <w:i/>
          <w:szCs w:val="24"/>
          <w:lang w:val="sq-AL"/>
        </w:rPr>
        <w:t xml:space="preserve">e </w:t>
      </w:r>
      <w:r w:rsidRPr="0053783F">
        <w:rPr>
          <w:rFonts w:ascii="Garamond" w:hAnsi="Garamond"/>
          <w:i/>
          <w:szCs w:val="24"/>
          <w:lang w:val="sq-AL"/>
        </w:rPr>
        <w:t>Seksionit,</w:t>
      </w:r>
    </w:p>
    <w:p w14:paraId="6CD3B54C" w14:textId="2ACF8242" w:rsidR="0058317D" w:rsidRPr="0053783F" w:rsidRDefault="00391EA1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>Duke mbajtur në konsiderat</w:t>
      </w:r>
      <w:r w:rsidR="00C70110" w:rsidRPr="0053783F">
        <w:rPr>
          <w:rFonts w:ascii="Garamond" w:hAnsi="Garamond"/>
          <w:iCs/>
          <w:szCs w:val="24"/>
          <w:lang w:val="sq-AL"/>
        </w:rPr>
        <w:t>ë</w:t>
      </w:r>
      <w:r w:rsidR="0058317D" w:rsidRPr="0053783F">
        <w:rPr>
          <w:rFonts w:ascii="Garamond" w:hAnsi="Garamond"/>
          <w:iCs/>
          <w:szCs w:val="24"/>
          <w:lang w:val="sq-AL"/>
        </w:rPr>
        <w:t>:</w:t>
      </w:r>
    </w:p>
    <w:p w14:paraId="586975C7" w14:textId="3E751729" w:rsidR="0058317D" w:rsidRPr="0053783F" w:rsidRDefault="0058317D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>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>rkes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>n (nr. 11674/17) kund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>r Republik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>s 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 xml:space="preserve"> Shqip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>ris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 xml:space="preserve"> depozituar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 xml:space="preserve"> Gjykat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 xml:space="preserve">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 xml:space="preserve"> mb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>shtetje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 xml:space="preserve"> </w:t>
      </w:r>
      <w:r w:rsidR="0053783F" w:rsidRPr="0053783F">
        <w:rPr>
          <w:rFonts w:ascii="Garamond" w:hAnsi="Garamond"/>
          <w:iCs/>
          <w:szCs w:val="24"/>
          <w:lang w:val="sq-AL"/>
        </w:rPr>
        <w:t>n</w:t>
      </w:r>
      <w:r w:rsidRPr="0053783F">
        <w:rPr>
          <w:rFonts w:ascii="Garamond" w:hAnsi="Garamond"/>
          <w:iCs/>
          <w:szCs w:val="24"/>
          <w:lang w:val="sq-AL"/>
        </w:rPr>
        <w:t>enit 34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 xml:space="preserve"> Konvent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>s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>r Mbrojtjen e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 xml:space="preserve"> Drejtave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 xml:space="preserve"> Njeriut dhe Lirive Themelore (“Konventa”), 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 xml:space="preserve"> 4 </w:t>
      </w:r>
      <w:r w:rsidR="0053783F" w:rsidRPr="0053783F">
        <w:rPr>
          <w:rFonts w:ascii="Garamond" w:hAnsi="Garamond"/>
          <w:iCs/>
          <w:szCs w:val="24"/>
          <w:lang w:val="sq-AL"/>
        </w:rPr>
        <w:t>s</w:t>
      </w:r>
      <w:r w:rsidRPr="0053783F">
        <w:rPr>
          <w:rFonts w:ascii="Garamond" w:hAnsi="Garamond"/>
          <w:iCs/>
          <w:szCs w:val="24"/>
          <w:lang w:val="sq-AL"/>
        </w:rPr>
        <w:t>hkurt 2017 nga 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 xml:space="preserve"> shtetas shqiptar dhe kanadez, </w:t>
      </w:r>
      <w:r w:rsidR="0053783F">
        <w:rPr>
          <w:rFonts w:ascii="Garamond" w:hAnsi="Garamond"/>
          <w:iCs/>
          <w:szCs w:val="24"/>
          <w:lang w:val="sq-AL"/>
        </w:rPr>
        <w:t>z</w:t>
      </w:r>
      <w:r w:rsidRPr="0053783F">
        <w:rPr>
          <w:rFonts w:ascii="Garamond" w:hAnsi="Garamond"/>
          <w:iCs/>
          <w:szCs w:val="24"/>
          <w:lang w:val="sq-AL"/>
        </w:rPr>
        <w:t>. Sokol Gazulli, lindur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 xml:space="preserve"> vitin 1970 dhe banues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 xml:space="preserve"> Lezh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 xml:space="preserve"> (“k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>rkuesi”), i cili u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>rfaq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 xml:space="preserve">sua nga </w:t>
      </w:r>
      <w:r w:rsidR="0053783F">
        <w:rPr>
          <w:rFonts w:ascii="Garamond" w:hAnsi="Garamond"/>
          <w:iCs/>
          <w:szCs w:val="24"/>
          <w:lang w:val="sq-AL"/>
        </w:rPr>
        <w:t>zn</w:t>
      </w:r>
      <w:r w:rsidRPr="0053783F">
        <w:rPr>
          <w:rFonts w:ascii="Garamond" w:hAnsi="Garamond"/>
          <w:iCs/>
          <w:szCs w:val="24"/>
          <w:lang w:val="sq-AL"/>
        </w:rPr>
        <w:t>j. F. Gazulli me banim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 xml:space="preserve"> Lezh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 xml:space="preserve">; </w:t>
      </w:r>
    </w:p>
    <w:p w14:paraId="5E0114B1" w14:textId="77AEF7E7" w:rsidR="0058317D" w:rsidRPr="0053783F" w:rsidRDefault="0058317D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>vendimin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>r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 xml:space="preserve"> njoftuar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>r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>rkes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>n Qeverin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 xml:space="preserve"> Shqiptare (“Qeveria”), e cila u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>rfaq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 xml:space="preserve">sua nga </w:t>
      </w:r>
      <w:r w:rsidR="00F77184" w:rsidRPr="0053783F">
        <w:rPr>
          <w:rFonts w:ascii="Garamond" w:hAnsi="Garamond"/>
          <w:iCs/>
          <w:szCs w:val="24"/>
          <w:lang w:val="sq-AL"/>
        </w:rPr>
        <w:t>agjentja e saj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iCs/>
          <w:szCs w:val="24"/>
          <w:lang w:val="sq-AL"/>
        </w:rPr>
        <w:t xml:space="preserve"> 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iCs/>
          <w:szCs w:val="24"/>
          <w:lang w:val="sq-AL"/>
        </w:rPr>
        <w:t xml:space="preserve"> periudh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iCs/>
          <w:szCs w:val="24"/>
          <w:lang w:val="sq-AL"/>
        </w:rPr>
        <w:t xml:space="preserve">, </w:t>
      </w:r>
      <w:r w:rsidR="0053783F">
        <w:rPr>
          <w:rFonts w:ascii="Garamond" w:hAnsi="Garamond"/>
          <w:iCs/>
          <w:szCs w:val="24"/>
          <w:lang w:val="sq-AL"/>
        </w:rPr>
        <w:t>zn</w:t>
      </w:r>
      <w:r w:rsidR="00F77184" w:rsidRPr="0053783F">
        <w:rPr>
          <w:rFonts w:ascii="Garamond" w:hAnsi="Garamond"/>
          <w:iCs/>
          <w:szCs w:val="24"/>
          <w:lang w:val="sq-AL"/>
        </w:rPr>
        <w:t>j. B. Lilo, dhe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iCs/>
          <w:szCs w:val="24"/>
          <w:lang w:val="sq-AL"/>
        </w:rPr>
        <w:t xml:space="preserve"> vijim nga </w:t>
      </w:r>
      <w:r w:rsidR="0053783F">
        <w:rPr>
          <w:rFonts w:ascii="Garamond" w:hAnsi="Garamond"/>
          <w:iCs/>
          <w:szCs w:val="24"/>
          <w:lang w:val="sq-AL"/>
        </w:rPr>
        <w:t>z</w:t>
      </w:r>
      <w:r w:rsidRPr="0053783F">
        <w:rPr>
          <w:rFonts w:ascii="Garamond" w:hAnsi="Garamond"/>
          <w:iCs/>
          <w:szCs w:val="24"/>
          <w:lang w:val="sq-AL"/>
        </w:rPr>
        <w:t>. O. Mo</w:t>
      </w:r>
      <w:r w:rsidR="00740C89" w:rsidRPr="0053783F">
        <w:rPr>
          <w:rFonts w:ascii="Garamond" w:hAnsi="Garamond"/>
          <w:iCs/>
          <w:szCs w:val="24"/>
          <w:lang w:val="sq-AL"/>
        </w:rPr>
        <w:t>ç</w:t>
      </w:r>
      <w:r w:rsidRPr="0053783F">
        <w:rPr>
          <w:rFonts w:ascii="Garamond" w:hAnsi="Garamond"/>
          <w:iCs/>
          <w:szCs w:val="24"/>
          <w:lang w:val="sq-AL"/>
        </w:rPr>
        <w:t>ka, Avokati i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>rgjithsh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>m i Shtetit;</w:t>
      </w:r>
    </w:p>
    <w:p w14:paraId="563AB4E8" w14:textId="518F4AAF" w:rsidR="006772D7" w:rsidRPr="0053783F" w:rsidRDefault="00F77184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>v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>rejtjet e pal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 xml:space="preserve">ve; </w:t>
      </w:r>
    </w:p>
    <w:p w14:paraId="73783A5B" w14:textId="6B4CC3E4" w:rsidR="00DD5598" w:rsidRPr="0053783F" w:rsidRDefault="006772D7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>Pasi di</w:t>
      </w:r>
      <w:r w:rsidR="004E355F" w:rsidRPr="0053783F">
        <w:rPr>
          <w:rFonts w:ascii="Garamond" w:hAnsi="Garamond"/>
          <w:iCs/>
          <w:szCs w:val="24"/>
          <w:lang w:val="sq-AL"/>
        </w:rPr>
        <w:t>s</w:t>
      </w:r>
      <w:r w:rsidRPr="0053783F">
        <w:rPr>
          <w:rFonts w:ascii="Garamond" w:hAnsi="Garamond"/>
          <w:iCs/>
          <w:szCs w:val="24"/>
          <w:lang w:val="sq-AL"/>
        </w:rPr>
        <w:t>kutoi, vendosi si m</w:t>
      </w:r>
      <w:r w:rsidR="00C70110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 xml:space="preserve"> posht</w:t>
      </w:r>
      <w:r w:rsidR="00C70110" w:rsidRPr="0053783F">
        <w:rPr>
          <w:rFonts w:ascii="Garamond" w:hAnsi="Garamond"/>
          <w:iCs/>
          <w:szCs w:val="24"/>
          <w:lang w:val="sq-AL"/>
        </w:rPr>
        <w:t>ë</w:t>
      </w:r>
      <w:r w:rsidR="00DD5598" w:rsidRPr="0053783F">
        <w:rPr>
          <w:rFonts w:ascii="Garamond" w:hAnsi="Garamond"/>
          <w:iCs/>
          <w:szCs w:val="24"/>
          <w:lang w:val="sq-AL"/>
        </w:rPr>
        <w:t>:</w:t>
      </w:r>
    </w:p>
    <w:p w14:paraId="51D04C22" w14:textId="097C7C21" w:rsidR="006772D7" w:rsidRPr="0053783F" w:rsidRDefault="00F77184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>L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>NDA E Ç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>SHTJES</w:t>
      </w:r>
    </w:p>
    <w:p w14:paraId="4E14C6DC" w14:textId="0D6C7FF6" w:rsidR="00F77184" w:rsidRPr="0053783F" w:rsidRDefault="00DA2AC0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 xml:space="preserve">1. </w:t>
      </w:r>
      <w:r w:rsidR="00F77184" w:rsidRPr="0053783F">
        <w:rPr>
          <w:rFonts w:ascii="Garamond" w:hAnsi="Garamond"/>
          <w:iCs/>
          <w:szCs w:val="24"/>
          <w:lang w:val="sq-AL"/>
        </w:rPr>
        <w:t>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iCs/>
          <w:szCs w:val="24"/>
          <w:lang w:val="sq-AL"/>
        </w:rPr>
        <w:t>rkuesi u gjobit nga autoriteti doganor dhe iu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iCs/>
          <w:szCs w:val="24"/>
          <w:lang w:val="sq-AL"/>
        </w:rPr>
        <w:t>rkua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iCs/>
          <w:szCs w:val="24"/>
          <w:lang w:val="sq-AL"/>
        </w:rPr>
        <w:t xml:space="preserve"> parapaguante 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iCs/>
          <w:szCs w:val="24"/>
          <w:lang w:val="sq-AL"/>
        </w:rPr>
        <w:t xml:space="preserve"> pjes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iCs/>
          <w:szCs w:val="24"/>
          <w:lang w:val="sq-AL"/>
        </w:rPr>
        <w:t xml:space="preserve">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iCs/>
          <w:szCs w:val="24"/>
          <w:lang w:val="sq-AL"/>
        </w:rPr>
        <w:t xml:space="preserve"> gjob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iCs/>
          <w:szCs w:val="24"/>
          <w:lang w:val="sq-AL"/>
        </w:rPr>
        <w:t>s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iCs/>
          <w:szCs w:val="24"/>
          <w:lang w:val="sq-AL"/>
        </w:rPr>
        <w:t>rpara se ta kund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iCs/>
          <w:szCs w:val="24"/>
          <w:lang w:val="sq-AL"/>
        </w:rPr>
        <w:t>rshtonte 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iCs/>
          <w:szCs w:val="24"/>
          <w:lang w:val="sq-AL"/>
        </w:rPr>
        <w:t>.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iCs/>
          <w:szCs w:val="24"/>
          <w:lang w:val="sq-AL"/>
        </w:rPr>
        <w:t>rkuesi u ankua se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iCs/>
          <w:szCs w:val="24"/>
          <w:lang w:val="sq-AL"/>
        </w:rPr>
        <w:t>rkesa shkelte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iCs/>
          <w:szCs w:val="24"/>
          <w:lang w:val="sq-AL"/>
        </w:rPr>
        <w:t xml:space="preserve"> drejt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iCs/>
          <w:szCs w:val="24"/>
          <w:lang w:val="sq-AL"/>
        </w:rPr>
        <w:t>n e tij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iCs/>
          <w:szCs w:val="24"/>
          <w:lang w:val="sq-AL"/>
        </w:rPr>
        <w:t>r t’iu drejtuar gjykat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iCs/>
          <w:szCs w:val="24"/>
          <w:lang w:val="sq-AL"/>
        </w:rPr>
        <w:t xml:space="preserve">s sipas </w:t>
      </w:r>
      <w:r w:rsidR="0053783F">
        <w:rPr>
          <w:rFonts w:ascii="Garamond" w:hAnsi="Garamond"/>
          <w:iCs/>
          <w:szCs w:val="24"/>
          <w:lang w:val="sq-AL"/>
        </w:rPr>
        <w:t>n</w:t>
      </w:r>
      <w:r w:rsidR="00F77184" w:rsidRPr="0053783F">
        <w:rPr>
          <w:rFonts w:ascii="Garamond" w:hAnsi="Garamond"/>
          <w:iCs/>
          <w:szCs w:val="24"/>
          <w:lang w:val="sq-AL"/>
        </w:rPr>
        <w:t>enit 6 § 1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iCs/>
          <w:szCs w:val="24"/>
          <w:lang w:val="sq-AL"/>
        </w:rPr>
        <w:t xml:space="preserve"> Konvent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iCs/>
          <w:szCs w:val="24"/>
          <w:lang w:val="sq-AL"/>
        </w:rPr>
        <w:t>s.</w:t>
      </w:r>
    </w:p>
    <w:p w14:paraId="04216AD7" w14:textId="1675C00F" w:rsidR="00F77184" w:rsidRPr="0053783F" w:rsidRDefault="00DA2AC0" w:rsidP="00DA2AC0">
      <w:pPr>
        <w:pStyle w:val="ECHRDecisionBody"/>
        <w:ind w:firstLine="284"/>
        <w:jc w:val="both"/>
        <w:rPr>
          <w:rFonts w:ascii="Garamond" w:hAnsi="Garamond"/>
          <w:b/>
          <w:bCs/>
          <w:iCs/>
          <w:szCs w:val="24"/>
          <w:lang w:val="sq-AL"/>
        </w:rPr>
      </w:pPr>
      <w:r w:rsidRPr="0053783F">
        <w:rPr>
          <w:rFonts w:ascii="Garamond" w:hAnsi="Garamond"/>
          <w:b/>
          <w:bCs/>
          <w:iCs/>
          <w:szCs w:val="24"/>
          <w:lang w:val="sq-AL"/>
        </w:rPr>
        <w:t xml:space="preserve">A. </w:t>
      </w:r>
      <w:r w:rsidR="00F77184" w:rsidRPr="0053783F">
        <w:rPr>
          <w:rFonts w:ascii="Garamond" w:hAnsi="Garamond"/>
          <w:b/>
          <w:bCs/>
          <w:iCs/>
          <w:szCs w:val="24"/>
          <w:lang w:val="sq-AL"/>
        </w:rPr>
        <w:t>Procesi administrativ n</w:t>
      </w:r>
      <w:r w:rsidR="00740C89" w:rsidRPr="0053783F">
        <w:rPr>
          <w:rFonts w:ascii="Garamond" w:hAnsi="Garamond"/>
          <w:b/>
          <w:bCs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b/>
          <w:bCs/>
          <w:iCs/>
          <w:szCs w:val="24"/>
          <w:lang w:val="sq-AL"/>
        </w:rPr>
        <w:t xml:space="preserve"> lidhje me p</w:t>
      </w:r>
      <w:r w:rsidR="00740C89" w:rsidRPr="0053783F">
        <w:rPr>
          <w:rFonts w:ascii="Garamond" w:hAnsi="Garamond"/>
          <w:b/>
          <w:bCs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b/>
          <w:bCs/>
          <w:iCs/>
          <w:szCs w:val="24"/>
          <w:lang w:val="sq-AL"/>
        </w:rPr>
        <w:t>rjashtimin nga nj</w:t>
      </w:r>
      <w:r w:rsidR="00740C89" w:rsidRPr="0053783F">
        <w:rPr>
          <w:rFonts w:ascii="Garamond" w:hAnsi="Garamond"/>
          <w:b/>
          <w:bCs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b/>
          <w:bCs/>
          <w:iCs/>
          <w:szCs w:val="24"/>
          <w:lang w:val="sq-AL"/>
        </w:rPr>
        <w:t xml:space="preserve"> detyrim doganor</w:t>
      </w:r>
    </w:p>
    <w:p w14:paraId="2CED44BF" w14:textId="2F998FDF" w:rsidR="00F77184" w:rsidRPr="0053783F" w:rsidRDefault="00DA2AC0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 xml:space="preserve">2. </w:t>
      </w:r>
      <w:r w:rsidR="00F77184" w:rsidRPr="0053783F">
        <w:rPr>
          <w:rFonts w:ascii="Garamond" w:hAnsi="Garamond"/>
          <w:iCs/>
          <w:szCs w:val="24"/>
          <w:lang w:val="sq-AL"/>
        </w:rPr>
        <w:t>Pasi kishte jetuar jasht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iCs/>
          <w:szCs w:val="24"/>
          <w:lang w:val="sq-AL"/>
        </w:rPr>
        <w:t xml:space="preserve"> vendit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iCs/>
          <w:szCs w:val="24"/>
          <w:lang w:val="sq-AL"/>
        </w:rPr>
        <w:t>r 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iCs/>
          <w:szCs w:val="24"/>
          <w:lang w:val="sq-AL"/>
        </w:rPr>
        <w:t xml:space="preserve"> 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iCs/>
          <w:szCs w:val="24"/>
          <w:lang w:val="sq-AL"/>
        </w:rPr>
        <w:t>r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iCs/>
          <w:szCs w:val="24"/>
          <w:lang w:val="sq-AL"/>
        </w:rPr>
        <w:t xml:space="preserve"> vitesh,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iCs/>
          <w:szCs w:val="24"/>
          <w:lang w:val="sq-AL"/>
        </w:rPr>
        <w:t>rkuesi u kthye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iCs/>
          <w:szCs w:val="24"/>
          <w:lang w:val="sq-AL"/>
        </w:rPr>
        <w:t xml:space="preserve"> Shqip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iCs/>
          <w:szCs w:val="24"/>
          <w:lang w:val="sq-AL"/>
        </w:rPr>
        <w:t>ri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77184" w:rsidRPr="0053783F">
        <w:rPr>
          <w:rFonts w:ascii="Garamond" w:hAnsi="Garamond"/>
          <w:iCs/>
          <w:szCs w:val="24"/>
          <w:lang w:val="sq-AL"/>
        </w:rPr>
        <w:t xml:space="preserve"> muajin </w:t>
      </w:r>
      <w:r w:rsidR="00D04391">
        <w:rPr>
          <w:rFonts w:ascii="Garamond" w:hAnsi="Garamond"/>
          <w:iCs/>
          <w:szCs w:val="24"/>
          <w:lang w:val="sq-AL"/>
        </w:rPr>
        <w:t>m</w:t>
      </w:r>
      <w:r w:rsidR="00F77184" w:rsidRPr="0053783F">
        <w:rPr>
          <w:rFonts w:ascii="Garamond" w:hAnsi="Garamond"/>
          <w:iCs/>
          <w:szCs w:val="24"/>
          <w:lang w:val="sq-AL"/>
        </w:rPr>
        <w:t xml:space="preserve">ars 2010. </w:t>
      </w:r>
      <w:r w:rsidR="00611B6F" w:rsidRPr="0053783F">
        <w:rPr>
          <w:rFonts w:ascii="Garamond" w:hAnsi="Garamond"/>
          <w:iCs/>
          <w:szCs w:val="24"/>
          <w:lang w:val="sq-AL"/>
        </w:rPr>
        <w:t>Ai pretendoi se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611B6F" w:rsidRPr="0053783F">
        <w:rPr>
          <w:rFonts w:ascii="Garamond" w:hAnsi="Garamond"/>
          <w:iCs/>
          <w:szCs w:val="24"/>
          <w:lang w:val="sq-AL"/>
        </w:rPr>
        <w:t xml:space="preserve">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611B6F" w:rsidRPr="0053783F">
        <w:rPr>
          <w:rFonts w:ascii="Garamond" w:hAnsi="Garamond"/>
          <w:iCs/>
          <w:szCs w:val="24"/>
          <w:lang w:val="sq-AL"/>
        </w:rPr>
        <w:t>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611B6F" w:rsidRPr="0053783F">
        <w:rPr>
          <w:rFonts w:ascii="Garamond" w:hAnsi="Garamond"/>
          <w:iCs/>
          <w:szCs w:val="24"/>
          <w:lang w:val="sq-AL"/>
        </w:rPr>
        <w:t xml:space="preserve"> periudh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611B6F" w:rsidRPr="0053783F">
        <w:rPr>
          <w:rFonts w:ascii="Garamond" w:hAnsi="Garamond"/>
          <w:iCs/>
          <w:szCs w:val="24"/>
          <w:lang w:val="sq-AL"/>
        </w:rPr>
        <w:t xml:space="preserve"> ai kishte importuar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611B6F" w:rsidRPr="0053783F">
        <w:rPr>
          <w:rFonts w:ascii="Garamond" w:hAnsi="Garamond"/>
          <w:iCs/>
          <w:szCs w:val="24"/>
          <w:lang w:val="sq-AL"/>
        </w:rPr>
        <w:t xml:space="preserve"> Shqip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611B6F" w:rsidRPr="0053783F">
        <w:rPr>
          <w:rFonts w:ascii="Garamond" w:hAnsi="Garamond"/>
          <w:iCs/>
          <w:szCs w:val="24"/>
          <w:lang w:val="sq-AL"/>
        </w:rPr>
        <w:t>ri makin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611B6F" w:rsidRPr="0053783F">
        <w:rPr>
          <w:rFonts w:ascii="Garamond" w:hAnsi="Garamond"/>
          <w:iCs/>
          <w:szCs w:val="24"/>
          <w:lang w:val="sq-AL"/>
        </w:rPr>
        <w:t>n e tij personale, por nuk kishte kaluar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611B6F" w:rsidRPr="0053783F">
        <w:rPr>
          <w:rFonts w:ascii="Garamond" w:hAnsi="Garamond"/>
          <w:iCs/>
          <w:szCs w:val="24"/>
          <w:lang w:val="sq-AL"/>
        </w:rPr>
        <w:t xml:space="preserve"> procedurat e zakonshme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611B6F" w:rsidRPr="0053783F">
        <w:rPr>
          <w:rFonts w:ascii="Garamond" w:hAnsi="Garamond"/>
          <w:iCs/>
          <w:szCs w:val="24"/>
          <w:lang w:val="sq-AL"/>
        </w:rPr>
        <w:t xml:space="preserve"> importit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611B6F" w:rsidRPr="0053783F">
        <w:rPr>
          <w:rFonts w:ascii="Garamond" w:hAnsi="Garamond"/>
          <w:iCs/>
          <w:szCs w:val="24"/>
          <w:lang w:val="sq-AL"/>
        </w:rPr>
        <w:t xml:space="preserve"> kufi, pasi oficer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611B6F" w:rsidRPr="0053783F">
        <w:rPr>
          <w:rFonts w:ascii="Garamond" w:hAnsi="Garamond"/>
          <w:iCs/>
          <w:szCs w:val="24"/>
          <w:lang w:val="sq-AL"/>
        </w:rPr>
        <w:t xml:space="preserve">t e kufirit nuk kishin </w:t>
      </w:r>
      <w:r w:rsidR="002607D1" w:rsidRPr="0053783F">
        <w:rPr>
          <w:rFonts w:ascii="Garamond" w:hAnsi="Garamond"/>
          <w:iCs/>
          <w:szCs w:val="24"/>
          <w:lang w:val="sq-AL"/>
        </w:rPr>
        <w:t>mundur ta informonin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2607D1" w:rsidRPr="0053783F">
        <w:rPr>
          <w:rFonts w:ascii="Garamond" w:hAnsi="Garamond"/>
          <w:iCs/>
          <w:szCs w:val="24"/>
          <w:lang w:val="sq-AL"/>
        </w:rPr>
        <w:t>r procedur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2607D1" w:rsidRPr="0053783F">
        <w:rPr>
          <w:rFonts w:ascii="Garamond" w:hAnsi="Garamond"/>
          <w:iCs/>
          <w:szCs w:val="24"/>
          <w:lang w:val="sq-AL"/>
        </w:rPr>
        <w:t>n e sakt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2607D1" w:rsidRPr="0053783F">
        <w:rPr>
          <w:rFonts w:ascii="Garamond" w:hAnsi="Garamond"/>
          <w:iCs/>
          <w:szCs w:val="24"/>
          <w:lang w:val="sq-AL"/>
        </w:rPr>
        <w:t xml:space="preserve"> q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2607D1" w:rsidRPr="0053783F">
        <w:rPr>
          <w:rFonts w:ascii="Garamond" w:hAnsi="Garamond"/>
          <w:iCs/>
          <w:szCs w:val="24"/>
          <w:lang w:val="sq-AL"/>
        </w:rPr>
        <w:t xml:space="preserve"> duhej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2607D1" w:rsidRPr="0053783F">
        <w:rPr>
          <w:rFonts w:ascii="Garamond" w:hAnsi="Garamond"/>
          <w:iCs/>
          <w:szCs w:val="24"/>
          <w:lang w:val="sq-AL"/>
        </w:rPr>
        <w:t xml:space="preserve"> ndiqej.</w:t>
      </w:r>
    </w:p>
    <w:p w14:paraId="61683395" w14:textId="31312B44" w:rsidR="002607D1" w:rsidRPr="0053783F" w:rsidRDefault="00DA2AC0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 xml:space="preserve">3. </w:t>
      </w:r>
      <w:r w:rsidR="002607D1" w:rsidRPr="0053783F">
        <w:rPr>
          <w:rFonts w:ascii="Garamond" w:hAnsi="Garamond"/>
          <w:iCs/>
          <w:szCs w:val="24"/>
          <w:lang w:val="sq-AL"/>
        </w:rPr>
        <w:t>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2607D1" w:rsidRPr="0053783F">
        <w:rPr>
          <w:rFonts w:ascii="Garamond" w:hAnsi="Garamond"/>
          <w:iCs/>
          <w:szCs w:val="24"/>
          <w:lang w:val="sq-AL"/>
        </w:rPr>
        <w:t xml:space="preserve"> muajin prill 2011, ai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2607D1" w:rsidRPr="0053783F">
        <w:rPr>
          <w:rFonts w:ascii="Garamond" w:hAnsi="Garamond"/>
          <w:iCs/>
          <w:szCs w:val="24"/>
          <w:lang w:val="sq-AL"/>
        </w:rPr>
        <w:t>rdori makin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2607D1" w:rsidRPr="0053783F">
        <w:rPr>
          <w:rFonts w:ascii="Garamond" w:hAnsi="Garamond"/>
          <w:iCs/>
          <w:szCs w:val="24"/>
          <w:lang w:val="sq-AL"/>
        </w:rPr>
        <w:t>n e tij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2607D1" w:rsidRPr="0053783F">
        <w:rPr>
          <w:rFonts w:ascii="Garamond" w:hAnsi="Garamond"/>
          <w:iCs/>
          <w:szCs w:val="24"/>
          <w:lang w:val="sq-AL"/>
        </w:rPr>
        <w:t>r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2607D1" w:rsidRPr="0053783F">
        <w:rPr>
          <w:rFonts w:ascii="Garamond" w:hAnsi="Garamond"/>
          <w:iCs/>
          <w:szCs w:val="24"/>
          <w:lang w:val="sq-AL"/>
        </w:rPr>
        <w:t xml:space="preserve"> udh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2607D1" w:rsidRPr="0053783F">
        <w:rPr>
          <w:rFonts w:ascii="Garamond" w:hAnsi="Garamond"/>
          <w:iCs/>
          <w:szCs w:val="24"/>
          <w:lang w:val="sq-AL"/>
        </w:rPr>
        <w:t>tuar jasht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2607D1" w:rsidRPr="0053783F">
        <w:rPr>
          <w:rFonts w:ascii="Garamond" w:hAnsi="Garamond"/>
          <w:iCs/>
          <w:szCs w:val="24"/>
          <w:lang w:val="sq-AL"/>
        </w:rPr>
        <w:t xml:space="preserve"> vendit dhe 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2607D1" w:rsidRPr="0053783F">
        <w:rPr>
          <w:rFonts w:ascii="Garamond" w:hAnsi="Garamond"/>
          <w:iCs/>
          <w:szCs w:val="24"/>
          <w:lang w:val="sq-AL"/>
        </w:rPr>
        <w:t xml:space="preserve"> pas,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2607D1" w:rsidRPr="0053783F">
        <w:rPr>
          <w:rFonts w:ascii="Garamond" w:hAnsi="Garamond"/>
          <w:iCs/>
          <w:szCs w:val="24"/>
          <w:lang w:val="sq-AL"/>
        </w:rPr>
        <w:t>r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2607D1" w:rsidRPr="0053783F">
        <w:rPr>
          <w:rFonts w:ascii="Garamond" w:hAnsi="Garamond"/>
          <w:iCs/>
          <w:szCs w:val="24"/>
          <w:lang w:val="sq-AL"/>
        </w:rPr>
        <w:t xml:space="preserve"> rihyr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2607D1" w:rsidRPr="0053783F">
        <w:rPr>
          <w:rFonts w:ascii="Garamond" w:hAnsi="Garamond"/>
          <w:iCs/>
          <w:szCs w:val="24"/>
          <w:lang w:val="sq-AL"/>
        </w:rPr>
        <w:t xml:space="preserve">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2607D1" w:rsidRPr="0053783F">
        <w:rPr>
          <w:rFonts w:ascii="Garamond" w:hAnsi="Garamond"/>
          <w:iCs/>
          <w:szCs w:val="24"/>
          <w:lang w:val="sq-AL"/>
        </w:rPr>
        <w:t xml:space="preserve"> Shqip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2607D1" w:rsidRPr="0053783F">
        <w:rPr>
          <w:rFonts w:ascii="Garamond" w:hAnsi="Garamond"/>
          <w:iCs/>
          <w:szCs w:val="24"/>
          <w:lang w:val="sq-AL"/>
        </w:rPr>
        <w:t>ri.</w:t>
      </w:r>
    </w:p>
    <w:p w14:paraId="09BAE9DC" w14:textId="5B25DB68" w:rsidR="002607D1" w:rsidRPr="0053783F" w:rsidRDefault="00DA2AC0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 xml:space="preserve">4. </w:t>
      </w:r>
      <w:r w:rsidR="002607D1" w:rsidRPr="0053783F">
        <w:rPr>
          <w:rFonts w:ascii="Garamond" w:hAnsi="Garamond"/>
          <w:iCs/>
          <w:szCs w:val="24"/>
          <w:lang w:val="sq-AL"/>
        </w:rPr>
        <w:t>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2607D1" w:rsidRPr="0053783F">
        <w:rPr>
          <w:rFonts w:ascii="Garamond" w:hAnsi="Garamond"/>
          <w:iCs/>
          <w:szCs w:val="24"/>
          <w:lang w:val="sq-AL"/>
        </w:rPr>
        <w:t xml:space="preserve"> muajin </w:t>
      </w:r>
      <w:r w:rsidR="0053783F" w:rsidRPr="0053783F">
        <w:rPr>
          <w:rFonts w:ascii="Garamond" w:hAnsi="Garamond"/>
          <w:iCs/>
          <w:szCs w:val="24"/>
          <w:lang w:val="sq-AL"/>
        </w:rPr>
        <w:t xml:space="preserve">mars </w:t>
      </w:r>
      <w:r w:rsidR="002607D1" w:rsidRPr="0053783F">
        <w:rPr>
          <w:rFonts w:ascii="Garamond" w:hAnsi="Garamond"/>
          <w:iCs/>
          <w:szCs w:val="24"/>
          <w:lang w:val="sq-AL"/>
        </w:rPr>
        <w:t>2012,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2607D1" w:rsidRPr="0053783F">
        <w:rPr>
          <w:rFonts w:ascii="Garamond" w:hAnsi="Garamond"/>
          <w:iCs/>
          <w:szCs w:val="24"/>
          <w:lang w:val="sq-AL"/>
        </w:rPr>
        <w:t>rkuesi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2607D1" w:rsidRPr="0053783F">
        <w:rPr>
          <w:rFonts w:ascii="Garamond" w:hAnsi="Garamond"/>
          <w:iCs/>
          <w:szCs w:val="24"/>
          <w:lang w:val="sq-AL"/>
        </w:rPr>
        <w:t>rkoi nga autoriteti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2607D1" w:rsidRPr="0053783F">
        <w:rPr>
          <w:rFonts w:ascii="Garamond" w:hAnsi="Garamond"/>
          <w:iCs/>
          <w:szCs w:val="24"/>
          <w:lang w:val="sq-AL"/>
        </w:rPr>
        <w:t>rkat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2607D1" w:rsidRPr="0053783F">
        <w:rPr>
          <w:rFonts w:ascii="Garamond" w:hAnsi="Garamond"/>
          <w:iCs/>
          <w:szCs w:val="24"/>
          <w:lang w:val="sq-AL"/>
        </w:rPr>
        <w:t>s tatimor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2607D1" w:rsidRPr="0053783F">
        <w:rPr>
          <w:rFonts w:ascii="Garamond" w:hAnsi="Garamond"/>
          <w:iCs/>
          <w:szCs w:val="24"/>
          <w:lang w:val="sq-AL"/>
        </w:rPr>
        <w:t xml:space="preserve">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2607D1" w:rsidRPr="0053783F">
        <w:rPr>
          <w:rFonts w:ascii="Garamond" w:hAnsi="Garamond"/>
          <w:iCs/>
          <w:szCs w:val="24"/>
          <w:lang w:val="sq-AL"/>
        </w:rPr>
        <w:t>rjashtohej nga detyrimet doganore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2607D1" w:rsidRPr="0053783F">
        <w:rPr>
          <w:rFonts w:ascii="Garamond" w:hAnsi="Garamond"/>
          <w:iCs/>
          <w:szCs w:val="24"/>
          <w:lang w:val="sq-AL"/>
        </w:rPr>
        <w:t>r makin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2607D1" w:rsidRPr="0053783F">
        <w:rPr>
          <w:rFonts w:ascii="Garamond" w:hAnsi="Garamond"/>
          <w:iCs/>
          <w:szCs w:val="24"/>
          <w:lang w:val="sq-AL"/>
        </w:rPr>
        <w:t xml:space="preserve">n me arsyetimin se </w:t>
      </w:r>
      <w:r w:rsidR="000C27E3" w:rsidRPr="0053783F">
        <w:rPr>
          <w:rFonts w:ascii="Garamond" w:hAnsi="Garamond"/>
          <w:iCs/>
          <w:szCs w:val="24"/>
          <w:lang w:val="sq-AL"/>
        </w:rPr>
        <w:t>sipas ligjit vendas, emigrant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t q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kthehen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Shqip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ri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rjashtohen nga detyrimet doganore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r makinat e tyre personale. Ministria e Financave e rr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zoi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rkes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n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muajin </w:t>
      </w:r>
      <w:r w:rsidR="0053783F" w:rsidRPr="0053783F">
        <w:rPr>
          <w:rFonts w:ascii="Garamond" w:hAnsi="Garamond"/>
          <w:iCs/>
          <w:szCs w:val="24"/>
          <w:lang w:val="sq-AL"/>
        </w:rPr>
        <w:t xml:space="preserve">prill </w:t>
      </w:r>
      <w:r w:rsidR="000C27E3" w:rsidRPr="0053783F">
        <w:rPr>
          <w:rFonts w:ascii="Garamond" w:hAnsi="Garamond"/>
          <w:iCs/>
          <w:szCs w:val="24"/>
          <w:lang w:val="sq-AL"/>
        </w:rPr>
        <w:t>2012</w:t>
      </w:r>
      <w:r w:rsidR="00D04391">
        <w:rPr>
          <w:rFonts w:ascii="Garamond" w:hAnsi="Garamond"/>
          <w:iCs/>
          <w:szCs w:val="24"/>
          <w:lang w:val="sq-AL"/>
        </w:rPr>
        <w:t>,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me arsyetimin se sipas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dh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nave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tyre, makina kishte hyr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Shqip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ri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muajin </w:t>
      </w:r>
      <w:r w:rsidR="0053783F" w:rsidRPr="0053783F">
        <w:rPr>
          <w:rFonts w:ascii="Garamond" w:hAnsi="Garamond"/>
          <w:iCs/>
          <w:szCs w:val="24"/>
          <w:lang w:val="sq-AL"/>
        </w:rPr>
        <w:t xml:space="preserve">prill </w:t>
      </w:r>
      <w:r w:rsidR="000C27E3" w:rsidRPr="0053783F">
        <w:rPr>
          <w:rFonts w:ascii="Garamond" w:hAnsi="Garamond"/>
          <w:iCs/>
          <w:szCs w:val="24"/>
          <w:lang w:val="sq-AL"/>
        </w:rPr>
        <w:t>2011 (shih paragrafin 3 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sip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r), q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do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thot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shum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se 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vit 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von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pas kthimit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rkuesit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Shqip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ri, q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kishte ndodhur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muajin </w:t>
      </w:r>
      <w:r w:rsidR="0053783F" w:rsidRPr="0053783F">
        <w:rPr>
          <w:rFonts w:ascii="Garamond" w:hAnsi="Garamond"/>
          <w:iCs/>
          <w:szCs w:val="24"/>
          <w:lang w:val="sq-AL"/>
        </w:rPr>
        <w:t xml:space="preserve">mars </w:t>
      </w:r>
      <w:r w:rsidR="000C27E3" w:rsidRPr="0053783F">
        <w:rPr>
          <w:rFonts w:ascii="Garamond" w:hAnsi="Garamond"/>
          <w:iCs/>
          <w:szCs w:val="24"/>
          <w:lang w:val="sq-AL"/>
        </w:rPr>
        <w:t>2010 (shih paragrafin 2 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sip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r).</w:t>
      </w:r>
    </w:p>
    <w:p w14:paraId="184EDBE3" w14:textId="565F00CB" w:rsidR="000C27E3" w:rsidRPr="0053783F" w:rsidRDefault="00DA2AC0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 xml:space="preserve">5. </w:t>
      </w:r>
      <w:r w:rsidR="000C27E3" w:rsidRPr="0053783F">
        <w:rPr>
          <w:rFonts w:ascii="Garamond" w:hAnsi="Garamond"/>
          <w:iCs/>
          <w:szCs w:val="24"/>
          <w:lang w:val="sq-AL"/>
        </w:rPr>
        <w:t>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periudh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n midis vitit 2012 dhe 2015,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rkuesi shprehu mospajtimin e tij me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vendim me an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korrespondenc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s elektronike me autoritetet vendase.</w:t>
      </w:r>
    </w:p>
    <w:p w14:paraId="68FE1CF7" w14:textId="2AD48196" w:rsidR="000C27E3" w:rsidRPr="0053783F" w:rsidRDefault="00DA2AC0" w:rsidP="00DA2AC0">
      <w:pPr>
        <w:pStyle w:val="ECHRDecisionBody"/>
        <w:ind w:firstLine="284"/>
        <w:jc w:val="both"/>
        <w:rPr>
          <w:rFonts w:ascii="Garamond" w:hAnsi="Garamond"/>
          <w:b/>
          <w:bCs/>
          <w:iCs/>
          <w:szCs w:val="24"/>
          <w:lang w:val="sq-AL"/>
        </w:rPr>
      </w:pPr>
      <w:r w:rsidRPr="0053783F">
        <w:rPr>
          <w:rFonts w:ascii="Garamond" w:hAnsi="Garamond"/>
          <w:b/>
          <w:bCs/>
          <w:iCs/>
          <w:szCs w:val="24"/>
          <w:lang w:val="sq-AL"/>
        </w:rPr>
        <w:t xml:space="preserve">B. </w:t>
      </w:r>
      <w:r w:rsidR="000C27E3" w:rsidRPr="0053783F">
        <w:rPr>
          <w:rFonts w:ascii="Garamond" w:hAnsi="Garamond"/>
          <w:b/>
          <w:bCs/>
          <w:iCs/>
          <w:szCs w:val="24"/>
          <w:lang w:val="sq-AL"/>
        </w:rPr>
        <w:t>Procesi n</w:t>
      </w:r>
      <w:r w:rsidR="00740C89" w:rsidRPr="0053783F">
        <w:rPr>
          <w:rFonts w:ascii="Garamond" w:hAnsi="Garamond"/>
          <w:b/>
          <w:bCs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b/>
          <w:bCs/>
          <w:iCs/>
          <w:szCs w:val="24"/>
          <w:lang w:val="sq-AL"/>
        </w:rPr>
        <w:t xml:space="preserve"> lidhje me gjob</w:t>
      </w:r>
      <w:r w:rsidR="00740C89" w:rsidRPr="0053783F">
        <w:rPr>
          <w:rFonts w:ascii="Garamond" w:hAnsi="Garamond"/>
          <w:b/>
          <w:bCs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b/>
          <w:bCs/>
          <w:iCs/>
          <w:szCs w:val="24"/>
          <w:lang w:val="sq-AL"/>
        </w:rPr>
        <w:t>n e dogan</w:t>
      </w:r>
      <w:r w:rsidR="00740C89" w:rsidRPr="0053783F">
        <w:rPr>
          <w:rFonts w:ascii="Garamond" w:hAnsi="Garamond"/>
          <w:b/>
          <w:bCs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b/>
          <w:bCs/>
          <w:iCs/>
          <w:szCs w:val="24"/>
          <w:lang w:val="sq-AL"/>
        </w:rPr>
        <w:t>s</w:t>
      </w:r>
    </w:p>
    <w:p w14:paraId="484C36F0" w14:textId="15AE47B0" w:rsidR="000C27E3" w:rsidRPr="0053783F" w:rsidRDefault="00DA2AC0" w:rsidP="00DA2AC0">
      <w:pPr>
        <w:pStyle w:val="ECHRDecisionBody"/>
        <w:ind w:firstLine="284"/>
        <w:jc w:val="both"/>
        <w:rPr>
          <w:rFonts w:ascii="Garamond" w:hAnsi="Garamond"/>
          <w:i/>
          <w:szCs w:val="24"/>
          <w:lang w:val="sq-AL"/>
        </w:rPr>
      </w:pPr>
      <w:r w:rsidRPr="0053783F">
        <w:rPr>
          <w:rFonts w:ascii="Garamond" w:hAnsi="Garamond"/>
          <w:i/>
          <w:szCs w:val="24"/>
          <w:lang w:val="sq-AL"/>
        </w:rPr>
        <w:t xml:space="preserve">1. </w:t>
      </w:r>
      <w:r w:rsidR="000C27E3" w:rsidRPr="0053783F">
        <w:rPr>
          <w:rFonts w:ascii="Garamond" w:hAnsi="Garamond"/>
          <w:i/>
          <w:szCs w:val="24"/>
          <w:lang w:val="sq-AL"/>
        </w:rPr>
        <w:t>Procesi administrativ</w:t>
      </w:r>
    </w:p>
    <w:p w14:paraId="5FD49F94" w14:textId="5A00D98B" w:rsidR="000C27E3" w:rsidRPr="0053783F" w:rsidRDefault="00DA2AC0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 xml:space="preserve">6. </w:t>
      </w:r>
      <w:r w:rsidR="000C27E3" w:rsidRPr="0053783F">
        <w:rPr>
          <w:rFonts w:ascii="Garamond" w:hAnsi="Garamond"/>
          <w:iCs/>
          <w:szCs w:val="24"/>
          <w:lang w:val="sq-AL"/>
        </w:rPr>
        <w:t>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30 </w:t>
      </w:r>
      <w:r w:rsidR="0053783F">
        <w:rPr>
          <w:rFonts w:ascii="Garamond" w:hAnsi="Garamond"/>
          <w:iCs/>
          <w:szCs w:val="24"/>
          <w:lang w:val="sq-AL"/>
        </w:rPr>
        <w:t>q</w:t>
      </w:r>
      <w:r w:rsidR="000C27E3" w:rsidRPr="0053783F">
        <w:rPr>
          <w:rFonts w:ascii="Garamond" w:hAnsi="Garamond"/>
          <w:iCs/>
          <w:szCs w:val="24"/>
          <w:lang w:val="sq-AL"/>
        </w:rPr>
        <w:t>ershor 2015,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rkuesi iu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nshtrua 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inspektimi rast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sor nga oficer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t doganor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. Ata sekuestruan makin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n e tij,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rpiluan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dh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nat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rkat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se dhe e referuan </w:t>
      </w:r>
      <w:r w:rsidR="00740C89" w:rsidRPr="0053783F">
        <w:rPr>
          <w:rFonts w:ascii="Garamond" w:hAnsi="Garamond"/>
          <w:iCs/>
          <w:szCs w:val="24"/>
          <w:lang w:val="sq-AL"/>
        </w:rPr>
        <w:t>çë</w:t>
      </w:r>
      <w:r w:rsidR="000C27E3" w:rsidRPr="0053783F">
        <w:rPr>
          <w:rFonts w:ascii="Garamond" w:hAnsi="Garamond"/>
          <w:iCs/>
          <w:szCs w:val="24"/>
          <w:lang w:val="sq-AL"/>
        </w:rPr>
        <w:t>shtjen pran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Zyr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s Doganore Shkod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r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r 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vendim.</w:t>
      </w:r>
    </w:p>
    <w:p w14:paraId="795CD087" w14:textId="3F0077F8" w:rsidR="000C27E3" w:rsidRPr="0053783F" w:rsidRDefault="00DA2AC0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lastRenderedPageBreak/>
        <w:t xml:space="preserve">7. </w:t>
      </w:r>
      <w:r w:rsidR="000C27E3" w:rsidRPr="0053783F">
        <w:rPr>
          <w:rFonts w:ascii="Garamond" w:hAnsi="Garamond"/>
          <w:iCs/>
          <w:szCs w:val="24"/>
          <w:lang w:val="sq-AL"/>
        </w:rPr>
        <w:t>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 3 </w:t>
      </w:r>
      <w:r w:rsidR="0053783F">
        <w:rPr>
          <w:rFonts w:ascii="Garamond" w:hAnsi="Garamond"/>
          <w:iCs/>
          <w:szCs w:val="24"/>
          <w:lang w:val="sq-AL"/>
        </w:rPr>
        <w:t>k</w:t>
      </w:r>
      <w:r w:rsidR="000C27E3" w:rsidRPr="0053783F">
        <w:rPr>
          <w:rFonts w:ascii="Garamond" w:hAnsi="Garamond"/>
          <w:iCs/>
          <w:szCs w:val="24"/>
          <w:lang w:val="sq-AL"/>
        </w:rPr>
        <w:t>orrik 2015, Zyra Doganore Shkod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r konstatoi se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rkuesi nuk kishte paguar detyrimin doganor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r makin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>n e tij. Gjithashtu, ajo konstatoi se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27E3" w:rsidRPr="0053783F">
        <w:rPr>
          <w:rFonts w:ascii="Garamond" w:hAnsi="Garamond"/>
          <w:iCs/>
          <w:szCs w:val="24"/>
          <w:lang w:val="sq-AL"/>
        </w:rPr>
        <w:t xml:space="preserve">rkuesi kishte pasur dijeni se </w:t>
      </w:r>
      <w:r w:rsidR="00D91C74" w:rsidRPr="0053783F">
        <w:rPr>
          <w:rFonts w:ascii="Garamond" w:hAnsi="Garamond"/>
          <w:iCs/>
          <w:szCs w:val="24"/>
          <w:lang w:val="sq-AL"/>
        </w:rPr>
        <w:t>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>rkesa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>r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>rjashtim nuk ishte pranuar dhe se ai nuk kishte filluar ndonj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 xml:space="preserve"> proces gjyq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>sor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>r ta kund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>rshtuar 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 xml:space="preserve"> vendim.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 xml:space="preserve"> vijim, Zyra Doganore Shkod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>r, me an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 xml:space="preserve">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 xml:space="preserve"> 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 xml:space="preserve"> vendimi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 xml:space="preserve"> 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 xml:space="preserve"> 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>jt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>s dat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>, e urdh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>ronte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 xml:space="preserve"> paguante 347,611.5 lek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 xml:space="preserve"> (ALL)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>r detyrimin doganor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 xml:space="preserve"> pashlyer dhe 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 xml:space="preserve"> gjob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 xml:space="preserve">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 xml:space="preserve"> barabart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 xml:space="preserve"> me 100%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 xml:space="preserve"> detyrimit (q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 xml:space="preserve"> do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 xml:space="preserve"> thot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 xml:space="preserve"> 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 xml:space="preserve"> shum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 xml:space="preserve">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 xml:space="preserve"> total prej 695,223 ALL – af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>rsisht rreth 5,604 euro (EUR)).</w:t>
      </w:r>
    </w:p>
    <w:p w14:paraId="29E513F7" w14:textId="20AA3A1A" w:rsidR="00D91C74" w:rsidRPr="0053783F" w:rsidRDefault="00DA2AC0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 xml:space="preserve">8. </w:t>
      </w:r>
      <w:r w:rsidR="00D91C74" w:rsidRPr="0053783F">
        <w:rPr>
          <w:rFonts w:ascii="Garamond" w:hAnsi="Garamond"/>
          <w:iCs/>
          <w:szCs w:val="24"/>
          <w:lang w:val="sq-AL"/>
        </w:rPr>
        <w:t>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 xml:space="preserve"> 9 </w:t>
      </w:r>
      <w:r w:rsidR="0053783F">
        <w:rPr>
          <w:rFonts w:ascii="Garamond" w:hAnsi="Garamond"/>
          <w:iCs/>
          <w:szCs w:val="24"/>
          <w:lang w:val="sq-AL"/>
        </w:rPr>
        <w:t>k</w:t>
      </w:r>
      <w:r w:rsidR="00D91C74" w:rsidRPr="0053783F">
        <w:rPr>
          <w:rFonts w:ascii="Garamond" w:hAnsi="Garamond"/>
          <w:iCs/>
          <w:szCs w:val="24"/>
          <w:lang w:val="sq-AL"/>
        </w:rPr>
        <w:t>orrik 2015,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>rkuesi e kund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>rshtoi vendimin e 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>sip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91C74" w:rsidRPr="0053783F">
        <w:rPr>
          <w:rFonts w:ascii="Garamond" w:hAnsi="Garamond"/>
          <w:iCs/>
          <w:szCs w:val="24"/>
          <w:lang w:val="sq-AL"/>
        </w:rPr>
        <w:t xml:space="preserve">rm </w:t>
      </w:r>
      <w:r w:rsidR="003F66CB" w:rsidRPr="0053783F">
        <w:rPr>
          <w:rFonts w:ascii="Garamond" w:hAnsi="Garamond"/>
          <w:iCs/>
          <w:szCs w:val="24"/>
          <w:lang w:val="sq-AL"/>
        </w:rPr>
        <w:t>pran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 xml:space="preserve"> organit administrativ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 xml:space="preserve"> shkall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>s 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 xml:space="preserve"> dyt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>, 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 xml:space="preserve"> konkretisht Drejtoria e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>rgjithshme e Doganave (“DPD”). 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 xml:space="preserve"> 3 </w:t>
      </w:r>
      <w:r w:rsidR="00D04391">
        <w:rPr>
          <w:rFonts w:ascii="Garamond" w:hAnsi="Garamond"/>
          <w:iCs/>
          <w:szCs w:val="24"/>
          <w:lang w:val="sq-AL"/>
        </w:rPr>
        <w:t>g</w:t>
      </w:r>
      <w:r w:rsidR="003F66CB" w:rsidRPr="0053783F">
        <w:rPr>
          <w:rFonts w:ascii="Garamond" w:hAnsi="Garamond"/>
          <w:iCs/>
          <w:szCs w:val="24"/>
          <w:lang w:val="sq-AL"/>
        </w:rPr>
        <w:t>usht 2015, DPD</w:t>
      </w:r>
      <w:r w:rsidR="00D04391">
        <w:rPr>
          <w:rFonts w:ascii="Garamond" w:hAnsi="Garamond"/>
          <w:iCs/>
          <w:szCs w:val="24"/>
          <w:lang w:val="sq-AL"/>
        </w:rPr>
        <w:t>-ja</w:t>
      </w:r>
      <w:r w:rsidR="003F66CB" w:rsidRPr="0053783F">
        <w:rPr>
          <w:rFonts w:ascii="Garamond" w:hAnsi="Garamond"/>
          <w:iCs/>
          <w:szCs w:val="24"/>
          <w:lang w:val="sq-AL"/>
        </w:rPr>
        <w:t xml:space="preserve"> e informoi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>rkuesin se kund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>rshtimi i tij ishte i papranuesh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>m, pasi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>rpara se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 xml:space="preserve"> kund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>rshtonte vendimin e organit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 xml:space="preserve"> shkall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>s 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 xml:space="preserve"> par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>,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>rkuesi nuk kishte shlyer detyrimin doganor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 xml:space="preserve"> kontestuar dhe 40%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 xml:space="preserve"> gjob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>s sipas parashikimit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 xml:space="preserve"> </w:t>
      </w:r>
      <w:r w:rsidR="0053783F">
        <w:rPr>
          <w:rFonts w:ascii="Garamond" w:hAnsi="Garamond"/>
          <w:iCs/>
          <w:szCs w:val="24"/>
          <w:lang w:val="sq-AL"/>
        </w:rPr>
        <w:t>n</w:t>
      </w:r>
      <w:r w:rsidR="003F66CB" w:rsidRPr="0053783F">
        <w:rPr>
          <w:rFonts w:ascii="Garamond" w:hAnsi="Garamond"/>
          <w:iCs/>
          <w:szCs w:val="24"/>
          <w:lang w:val="sq-AL"/>
        </w:rPr>
        <w:t>enit 289 § 3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 xml:space="preserve"> Kodit Doganor (</w:t>
      </w:r>
      <w:r w:rsidR="0053783F">
        <w:rPr>
          <w:rFonts w:ascii="Garamond" w:hAnsi="Garamond"/>
          <w:iCs/>
          <w:szCs w:val="24"/>
          <w:lang w:val="sq-AL"/>
        </w:rPr>
        <w:t>l</w:t>
      </w:r>
      <w:r w:rsidR="003F66CB" w:rsidRPr="0053783F">
        <w:rPr>
          <w:rFonts w:ascii="Garamond" w:hAnsi="Garamond"/>
          <w:iCs/>
          <w:szCs w:val="24"/>
          <w:lang w:val="sq-AL"/>
        </w:rPr>
        <w:t>igji nr. 8449</w:t>
      </w:r>
      <w:r w:rsidR="00D04391">
        <w:rPr>
          <w:rFonts w:ascii="Garamond" w:hAnsi="Garamond"/>
          <w:iCs/>
          <w:szCs w:val="24"/>
          <w:lang w:val="sq-AL"/>
        </w:rPr>
        <w:t>,</w:t>
      </w:r>
      <w:r w:rsidR="003F66CB" w:rsidRPr="0053783F">
        <w:rPr>
          <w:rFonts w:ascii="Garamond" w:hAnsi="Garamond"/>
          <w:iCs/>
          <w:szCs w:val="24"/>
          <w:lang w:val="sq-AL"/>
        </w:rPr>
        <w:t xml:space="preserve"> i dat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 xml:space="preserve">s 27 </w:t>
      </w:r>
      <w:r w:rsidR="0053783F">
        <w:rPr>
          <w:rFonts w:ascii="Garamond" w:hAnsi="Garamond"/>
          <w:iCs/>
          <w:szCs w:val="24"/>
          <w:lang w:val="sq-AL"/>
        </w:rPr>
        <w:t>j</w:t>
      </w:r>
      <w:r w:rsidR="003F66CB" w:rsidRPr="0053783F">
        <w:rPr>
          <w:rFonts w:ascii="Garamond" w:hAnsi="Garamond"/>
          <w:iCs/>
          <w:szCs w:val="24"/>
          <w:lang w:val="sq-AL"/>
        </w:rPr>
        <w:t>anar 1999, i ndryshuar).</w:t>
      </w:r>
    </w:p>
    <w:p w14:paraId="1089D824" w14:textId="35D5E94C" w:rsidR="003F66CB" w:rsidRPr="0053783F" w:rsidRDefault="00DA2AC0" w:rsidP="00DA2AC0">
      <w:pPr>
        <w:pStyle w:val="ECHRDecisionBody"/>
        <w:ind w:firstLine="284"/>
        <w:jc w:val="both"/>
        <w:rPr>
          <w:rFonts w:ascii="Garamond" w:hAnsi="Garamond"/>
          <w:i/>
          <w:szCs w:val="24"/>
          <w:lang w:val="sq-AL"/>
        </w:rPr>
      </w:pPr>
      <w:r w:rsidRPr="0053783F">
        <w:rPr>
          <w:rFonts w:ascii="Garamond" w:hAnsi="Garamond"/>
          <w:i/>
          <w:szCs w:val="24"/>
          <w:lang w:val="sq-AL"/>
        </w:rPr>
        <w:t xml:space="preserve">2. </w:t>
      </w:r>
      <w:r w:rsidR="003F66CB" w:rsidRPr="0053783F">
        <w:rPr>
          <w:rFonts w:ascii="Garamond" w:hAnsi="Garamond"/>
          <w:i/>
          <w:szCs w:val="24"/>
          <w:lang w:val="sq-AL"/>
        </w:rPr>
        <w:t>Procesi gjyq</w:t>
      </w:r>
      <w:r w:rsidR="00740C89" w:rsidRPr="0053783F">
        <w:rPr>
          <w:rFonts w:ascii="Garamond" w:hAnsi="Garamond"/>
          <w:i/>
          <w:szCs w:val="24"/>
          <w:lang w:val="sq-AL"/>
        </w:rPr>
        <w:t>ë</w:t>
      </w:r>
      <w:r w:rsidR="003F66CB" w:rsidRPr="0053783F">
        <w:rPr>
          <w:rFonts w:ascii="Garamond" w:hAnsi="Garamond"/>
          <w:i/>
          <w:szCs w:val="24"/>
          <w:lang w:val="sq-AL"/>
        </w:rPr>
        <w:t xml:space="preserve">sor </w:t>
      </w:r>
    </w:p>
    <w:p w14:paraId="09D01E29" w14:textId="3A4D9C15" w:rsidR="003F66CB" w:rsidRPr="0053783F" w:rsidRDefault="00DA2AC0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 xml:space="preserve">9. </w:t>
      </w:r>
      <w:r w:rsidR="003F66CB" w:rsidRPr="0053783F">
        <w:rPr>
          <w:rFonts w:ascii="Garamond" w:hAnsi="Garamond"/>
          <w:iCs/>
          <w:szCs w:val="24"/>
          <w:lang w:val="sq-AL"/>
        </w:rPr>
        <w:t>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>rkuesi i kund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>rshtoi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 xml:space="preserve"> dy vendimet administrative pran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 xml:space="preserve"> Gjykat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>s Administrative Shkod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>r, e cila, 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 xml:space="preserve"> 14 </w:t>
      </w:r>
      <w:r w:rsidR="00D04391">
        <w:rPr>
          <w:rFonts w:ascii="Garamond" w:hAnsi="Garamond"/>
          <w:iCs/>
          <w:szCs w:val="24"/>
          <w:lang w:val="sq-AL"/>
        </w:rPr>
        <w:t>t</w:t>
      </w:r>
      <w:r w:rsidR="003F66CB" w:rsidRPr="0053783F">
        <w:rPr>
          <w:rFonts w:ascii="Garamond" w:hAnsi="Garamond"/>
          <w:iCs/>
          <w:szCs w:val="24"/>
          <w:lang w:val="sq-AL"/>
        </w:rPr>
        <w:t>etor 2015, e deklaroi padin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 xml:space="preserve"> e tij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 xml:space="preserve"> papranueshme me arsyetimin se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>rkuesi nuk kishte shteruar mjetet administrative pasi DPD</w:t>
      </w:r>
      <w:r w:rsidR="00D04391">
        <w:rPr>
          <w:rFonts w:ascii="Garamond" w:hAnsi="Garamond"/>
          <w:iCs/>
          <w:szCs w:val="24"/>
          <w:lang w:val="sq-AL"/>
        </w:rPr>
        <w:t>-ja</w:t>
      </w:r>
      <w:r w:rsidR="003F66CB" w:rsidRPr="0053783F">
        <w:rPr>
          <w:rFonts w:ascii="Garamond" w:hAnsi="Garamond"/>
          <w:iCs/>
          <w:szCs w:val="24"/>
          <w:lang w:val="sq-AL"/>
        </w:rPr>
        <w:t xml:space="preserve"> nuk kishte shqyrtuar meritat e ankesave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>r shkak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 xml:space="preserve"> mosrespektimit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 xml:space="preserve"> parashikimeve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>r pranueshm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>rin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 xml:space="preserve"> pran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F66CB" w:rsidRPr="0053783F">
        <w:rPr>
          <w:rFonts w:ascii="Garamond" w:hAnsi="Garamond"/>
          <w:iCs/>
          <w:szCs w:val="24"/>
          <w:lang w:val="sq-AL"/>
        </w:rPr>
        <w:t xml:space="preserve"> atij organi.</w:t>
      </w:r>
    </w:p>
    <w:p w14:paraId="3AB13AC2" w14:textId="3D2EEA39" w:rsidR="003F66CB" w:rsidRPr="0053783F" w:rsidRDefault="00DA2AC0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 xml:space="preserve">10. </w:t>
      </w:r>
      <w:r w:rsidR="00FE6984" w:rsidRPr="0053783F">
        <w:rPr>
          <w:rFonts w:ascii="Garamond" w:hAnsi="Garamond"/>
          <w:iCs/>
          <w:szCs w:val="24"/>
          <w:lang w:val="sq-AL"/>
        </w:rPr>
        <w:t>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 xml:space="preserve"> 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 xml:space="preserve"> dat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 xml:space="preserve">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 xml:space="preserve"> paspecifikuar,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>rkuesi depozitoi 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 xml:space="preserve"> apelim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 xml:space="preserve"> posa</w:t>
      </w:r>
      <w:r w:rsidR="00740C89" w:rsidRPr="0053783F">
        <w:rPr>
          <w:rFonts w:ascii="Garamond" w:hAnsi="Garamond"/>
          <w:iCs/>
          <w:szCs w:val="24"/>
          <w:lang w:val="sq-AL"/>
        </w:rPr>
        <w:t>çë</w:t>
      </w:r>
      <w:r w:rsidR="00FE6984" w:rsidRPr="0053783F">
        <w:rPr>
          <w:rFonts w:ascii="Garamond" w:hAnsi="Garamond"/>
          <w:iCs/>
          <w:szCs w:val="24"/>
          <w:lang w:val="sq-AL"/>
        </w:rPr>
        <w:t>m pran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 xml:space="preserve"> Gjykat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>s 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 xml:space="preserve"> Lart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>. Ai argumentoi se si emigrant q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 xml:space="preserve"> po kthehej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 xml:space="preserve"> vendin e tij, ai duhej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 xml:space="preserve"> ishte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>rjashtuar nga detyrimi doganor. 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 xml:space="preserve"> 17 </w:t>
      </w:r>
      <w:r w:rsidR="00D04391">
        <w:rPr>
          <w:rFonts w:ascii="Garamond" w:hAnsi="Garamond"/>
          <w:iCs/>
          <w:szCs w:val="24"/>
          <w:lang w:val="sq-AL"/>
        </w:rPr>
        <w:t>d</w:t>
      </w:r>
      <w:r w:rsidR="00FE6984" w:rsidRPr="0053783F">
        <w:rPr>
          <w:rFonts w:ascii="Garamond" w:hAnsi="Garamond"/>
          <w:iCs/>
          <w:szCs w:val="24"/>
          <w:lang w:val="sq-AL"/>
        </w:rPr>
        <w:t>hjetor 2015, Gjykata e Lart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 xml:space="preserve"> la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 xml:space="preserve"> fuqi arsyetimin dhe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>rfundimin e gjykat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>s 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 xml:space="preserve">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 xml:space="preserve"> ul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>t pa shqyrtuar meritat e gjob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>s.</w:t>
      </w:r>
    </w:p>
    <w:p w14:paraId="11F39838" w14:textId="319D4E5E" w:rsidR="00FE6984" w:rsidRPr="0053783F" w:rsidRDefault="00DA2AC0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 xml:space="preserve">11. </w:t>
      </w:r>
      <w:r w:rsidR="00FE6984" w:rsidRPr="0053783F">
        <w:rPr>
          <w:rFonts w:ascii="Garamond" w:hAnsi="Garamond"/>
          <w:iCs/>
          <w:szCs w:val="24"/>
          <w:lang w:val="sq-AL"/>
        </w:rPr>
        <w:t>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 xml:space="preserve"> 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 xml:space="preserve"> dat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 xml:space="preserve">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 xml:space="preserve"> paspecifikuar,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>rkuesi u ankua pran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 xml:space="preserve"> Gjykat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>s Kushtetuese. 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 xml:space="preserve"> prej argumenteve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 xml:space="preserve"> tij ishte se rregulli</w:t>
      </w:r>
      <w:r w:rsidR="00D04391">
        <w:rPr>
          <w:rFonts w:ascii="Garamond" w:hAnsi="Garamond"/>
          <w:iCs/>
          <w:szCs w:val="24"/>
          <w:lang w:val="sq-AL"/>
        </w:rPr>
        <w:t>,</w:t>
      </w:r>
      <w:r w:rsidR="00FE6984" w:rsidRPr="0053783F">
        <w:rPr>
          <w:rFonts w:ascii="Garamond" w:hAnsi="Garamond"/>
          <w:iCs/>
          <w:szCs w:val="24"/>
          <w:lang w:val="sq-AL"/>
        </w:rPr>
        <w:t xml:space="preserve"> sipas </w:t>
      </w:r>
      <w:r w:rsidR="00D04391">
        <w:rPr>
          <w:rFonts w:ascii="Garamond" w:hAnsi="Garamond"/>
          <w:iCs/>
          <w:szCs w:val="24"/>
          <w:lang w:val="sq-AL"/>
        </w:rPr>
        <w:t>n</w:t>
      </w:r>
      <w:r w:rsidR="00FE6984" w:rsidRPr="0053783F">
        <w:rPr>
          <w:rFonts w:ascii="Garamond" w:hAnsi="Garamond"/>
          <w:iCs/>
          <w:szCs w:val="24"/>
          <w:lang w:val="sq-AL"/>
        </w:rPr>
        <w:t>enit 289 § 3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 xml:space="preserve"> Kodit Doganor</w:t>
      </w:r>
      <w:r w:rsidR="00D04391">
        <w:rPr>
          <w:rFonts w:ascii="Garamond" w:hAnsi="Garamond"/>
          <w:iCs/>
          <w:szCs w:val="24"/>
          <w:lang w:val="sq-AL"/>
        </w:rPr>
        <w:t>,</w:t>
      </w:r>
      <w:r w:rsidR="00FE6984" w:rsidRPr="0053783F">
        <w:rPr>
          <w:rFonts w:ascii="Garamond" w:hAnsi="Garamond"/>
          <w:iCs/>
          <w:szCs w:val="24"/>
          <w:lang w:val="sq-AL"/>
        </w:rPr>
        <w:t xml:space="preserve"> sipas 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 xml:space="preserve"> cilit ai duhej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 xml:space="preserve"> paguante detyrimin doganor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 xml:space="preserve"> kund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>rshtuar dhe 40%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 xml:space="preserve"> gjob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>s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>rpara se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 xml:space="preserve"> kund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E6984" w:rsidRPr="0053783F">
        <w:rPr>
          <w:rFonts w:ascii="Garamond" w:hAnsi="Garamond"/>
          <w:iCs/>
          <w:szCs w:val="24"/>
          <w:lang w:val="sq-AL"/>
        </w:rPr>
        <w:t xml:space="preserve">rshtonte </w:t>
      </w:r>
      <w:r w:rsidR="003A3F3C" w:rsidRPr="0053783F">
        <w:rPr>
          <w:rFonts w:ascii="Garamond" w:hAnsi="Garamond"/>
          <w:iCs/>
          <w:szCs w:val="24"/>
          <w:lang w:val="sq-AL"/>
        </w:rPr>
        <w:t>vendimet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A3F3C" w:rsidRPr="0053783F">
        <w:rPr>
          <w:rFonts w:ascii="Garamond" w:hAnsi="Garamond"/>
          <w:iCs/>
          <w:szCs w:val="24"/>
          <w:lang w:val="sq-AL"/>
        </w:rPr>
        <w:t>rkat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A3F3C" w:rsidRPr="0053783F">
        <w:rPr>
          <w:rFonts w:ascii="Garamond" w:hAnsi="Garamond"/>
          <w:iCs/>
          <w:szCs w:val="24"/>
          <w:lang w:val="sq-AL"/>
        </w:rPr>
        <w:t>se administrative shkaktonte 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A3F3C" w:rsidRPr="0053783F">
        <w:rPr>
          <w:rFonts w:ascii="Garamond" w:hAnsi="Garamond"/>
          <w:iCs/>
          <w:szCs w:val="24"/>
          <w:lang w:val="sq-AL"/>
        </w:rPr>
        <w:t xml:space="preserve"> nd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A3F3C" w:rsidRPr="0053783F">
        <w:rPr>
          <w:rFonts w:ascii="Garamond" w:hAnsi="Garamond"/>
          <w:iCs/>
          <w:szCs w:val="24"/>
          <w:lang w:val="sq-AL"/>
        </w:rPr>
        <w:t>rhyrje joproporcionale me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A3F3C" w:rsidRPr="0053783F">
        <w:rPr>
          <w:rFonts w:ascii="Garamond" w:hAnsi="Garamond"/>
          <w:iCs/>
          <w:szCs w:val="24"/>
          <w:lang w:val="sq-AL"/>
        </w:rPr>
        <w:t xml:space="preserve"> drejt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A3F3C" w:rsidRPr="0053783F">
        <w:rPr>
          <w:rFonts w:ascii="Garamond" w:hAnsi="Garamond"/>
          <w:iCs/>
          <w:szCs w:val="24"/>
          <w:lang w:val="sq-AL"/>
        </w:rPr>
        <w:t>n e individ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A3F3C" w:rsidRPr="0053783F">
        <w:rPr>
          <w:rFonts w:ascii="Garamond" w:hAnsi="Garamond"/>
          <w:iCs/>
          <w:szCs w:val="24"/>
          <w:lang w:val="sq-AL"/>
        </w:rPr>
        <w:t>ve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A3F3C" w:rsidRPr="0053783F">
        <w:rPr>
          <w:rFonts w:ascii="Garamond" w:hAnsi="Garamond"/>
          <w:iCs/>
          <w:szCs w:val="24"/>
          <w:lang w:val="sq-AL"/>
        </w:rPr>
        <w:t>r t’iu drejtuar gjykat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A3F3C" w:rsidRPr="0053783F">
        <w:rPr>
          <w:rFonts w:ascii="Garamond" w:hAnsi="Garamond"/>
          <w:iCs/>
          <w:szCs w:val="24"/>
          <w:lang w:val="sq-AL"/>
        </w:rPr>
        <w:t>s</w:t>
      </w:r>
      <w:r w:rsidR="00D04391">
        <w:rPr>
          <w:rFonts w:ascii="Garamond" w:hAnsi="Garamond"/>
          <w:iCs/>
          <w:szCs w:val="24"/>
          <w:lang w:val="sq-AL"/>
        </w:rPr>
        <w:t>,</w:t>
      </w:r>
      <w:r w:rsidR="003A3F3C" w:rsidRPr="0053783F">
        <w:rPr>
          <w:rFonts w:ascii="Garamond" w:hAnsi="Garamond"/>
          <w:iCs/>
          <w:szCs w:val="24"/>
          <w:lang w:val="sq-AL"/>
        </w:rPr>
        <w:t xml:space="preserve"> sipas </w:t>
      </w:r>
      <w:r w:rsidR="00D04391">
        <w:rPr>
          <w:rFonts w:ascii="Garamond" w:hAnsi="Garamond"/>
          <w:iCs/>
          <w:szCs w:val="24"/>
          <w:lang w:val="sq-AL"/>
        </w:rPr>
        <w:t>n</w:t>
      </w:r>
      <w:r w:rsidR="003A3F3C" w:rsidRPr="0053783F">
        <w:rPr>
          <w:rFonts w:ascii="Garamond" w:hAnsi="Garamond"/>
          <w:iCs/>
          <w:szCs w:val="24"/>
          <w:lang w:val="sq-AL"/>
        </w:rPr>
        <w:t>enit 6 § 1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A3F3C" w:rsidRPr="0053783F">
        <w:rPr>
          <w:rFonts w:ascii="Garamond" w:hAnsi="Garamond"/>
          <w:iCs/>
          <w:szCs w:val="24"/>
          <w:lang w:val="sq-AL"/>
        </w:rPr>
        <w:t xml:space="preserve"> Konvent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A3F3C" w:rsidRPr="0053783F">
        <w:rPr>
          <w:rFonts w:ascii="Garamond" w:hAnsi="Garamond"/>
          <w:iCs/>
          <w:szCs w:val="24"/>
          <w:lang w:val="sq-AL"/>
        </w:rPr>
        <w:t xml:space="preserve">s. </w:t>
      </w:r>
      <w:r w:rsidR="004D2ED6" w:rsidRPr="0053783F">
        <w:rPr>
          <w:rFonts w:ascii="Garamond" w:hAnsi="Garamond"/>
          <w:iCs/>
          <w:szCs w:val="24"/>
          <w:lang w:val="sq-AL"/>
        </w:rPr>
        <w:t>Sipas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4D2ED6" w:rsidRPr="0053783F">
        <w:rPr>
          <w:rFonts w:ascii="Garamond" w:hAnsi="Garamond"/>
          <w:iCs/>
          <w:szCs w:val="24"/>
          <w:lang w:val="sq-AL"/>
        </w:rPr>
        <w:t>ndv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4D2ED6" w:rsidRPr="0053783F">
        <w:rPr>
          <w:rFonts w:ascii="Garamond" w:hAnsi="Garamond"/>
          <w:iCs/>
          <w:szCs w:val="24"/>
          <w:lang w:val="sq-AL"/>
        </w:rPr>
        <w:t>shtrimit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4D2ED6" w:rsidRPr="0053783F">
        <w:rPr>
          <w:rFonts w:ascii="Garamond" w:hAnsi="Garamond"/>
          <w:iCs/>
          <w:szCs w:val="24"/>
          <w:lang w:val="sq-AL"/>
        </w:rPr>
        <w:t xml:space="preserve">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4D2ED6" w:rsidRPr="0053783F">
        <w:rPr>
          <w:rFonts w:ascii="Garamond" w:hAnsi="Garamond"/>
          <w:iCs/>
          <w:szCs w:val="24"/>
          <w:lang w:val="sq-AL"/>
        </w:rPr>
        <w:t>rkuesit ajo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4D2ED6" w:rsidRPr="0053783F">
        <w:rPr>
          <w:rFonts w:ascii="Garamond" w:hAnsi="Garamond"/>
          <w:iCs/>
          <w:szCs w:val="24"/>
          <w:lang w:val="sq-AL"/>
        </w:rPr>
        <w:t>rkes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4D2ED6" w:rsidRPr="0053783F">
        <w:rPr>
          <w:rFonts w:ascii="Garamond" w:hAnsi="Garamond"/>
          <w:iCs/>
          <w:szCs w:val="24"/>
          <w:lang w:val="sq-AL"/>
        </w:rPr>
        <w:t xml:space="preserve"> ishte e pafavorshme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4D2ED6" w:rsidRPr="0053783F">
        <w:rPr>
          <w:rFonts w:ascii="Garamond" w:hAnsi="Garamond"/>
          <w:iCs/>
          <w:szCs w:val="24"/>
          <w:lang w:val="sq-AL"/>
        </w:rPr>
        <w:t xml:space="preserve">r </w:t>
      </w:r>
      <w:r w:rsidR="00740C89" w:rsidRPr="0053783F">
        <w:rPr>
          <w:rFonts w:ascii="Garamond" w:hAnsi="Garamond"/>
          <w:iCs/>
          <w:szCs w:val="24"/>
          <w:lang w:val="sq-AL"/>
        </w:rPr>
        <w:t>kërkuesit</w:t>
      </w:r>
      <w:r w:rsidR="004D2ED6" w:rsidRPr="0053783F">
        <w:rPr>
          <w:rFonts w:ascii="Garamond" w:hAnsi="Garamond"/>
          <w:iCs/>
          <w:szCs w:val="24"/>
          <w:lang w:val="sq-AL"/>
        </w:rPr>
        <w:t xml:space="preserve"> dhe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4D2ED6" w:rsidRPr="0053783F">
        <w:rPr>
          <w:rFonts w:ascii="Garamond" w:hAnsi="Garamond"/>
          <w:iCs/>
          <w:szCs w:val="24"/>
          <w:lang w:val="sq-AL"/>
        </w:rPr>
        <w:t xml:space="preserve">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4D2ED6" w:rsidRPr="0053783F">
        <w:rPr>
          <w:rFonts w:ascii="Garamond" w:hAnsi="Garamond"/>
          <w:iCs/>
          <w:szCs w:val="24"/>
          <w:lang w:val="sq-AL"/>
        </w:rPr>
        <w:t>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4D2ED6" w:rsidRPr="0053783F">
        <w:rPr>
          <w:rFonts w:ascii="Garamond" w:hAnsi="Garamond"/>
          <w:iCs/>
          <w:szCs w:val="24"/>
          <w:lang w:val="sq-AL"/>
        </w:rPr>
        <w:t xml:space="preserve"> 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4D2ED6" w:rsidRPr="0053783F">
        <w:rPr>
          <w:rFonts w:ascii="Garamond" w:hAnsi="Garamond"/>
          <w:iCs/>
          <w:szCs w:val="24"/>
          <w:lang w:val="sq-AL"/>
        </w:rPr>
        <w:t>nyr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4D2ED6" w:rsidRPr="0053783F">
        <w:rPr>
          <w:rFonts w:ascii="Garamond" w:hAnsi="Garamond"/>
          <w:iCs/>
          <w:szCs w:val="24"/>
          <w:lang w:val="sq-AL"/>
        </w:rPr>
        <w:t>, mund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4D2ED6" w:rsidRPr="0053783F">
        <w:rPr>
          <w:rFonts w:ascii="Garamond" w:hAnsi="Garamond"/>
          <w:iCs/>
          <w:szCs w:val="24"/>
          <w:lang w:val="sq-AL"/>
        </w:rPr>
        <w:t xml:space="preserve"> </w:t>
      </w:r>
      <w:r w:rsidR="00740C89" w:rsidRPr="0053783F">
        <w:rPr>
          <w:rFonts w:ascii="Garamond" w:hAnsi="Garamond"/>
          <w:iCs/>
          <w:szCs w:val="24"/>
          <w:lang w:val="sq-AL"/>
        </w:rPr>
        <w:t>de</w:t>
      </w:r>
      <w:r w:rsidR="004D2ED6" w:rsidRPr="0053783F">
        <w:rPr>
          <w:rFonts w:ascii="Garamond" w:hAnsi="Garamond"/>
          <w:iCs/>
          <w:szCs w:val="24"/>
          <w:lang w:val="sq-AL"/>
        </w:rPr>
        <w:t>kurajonte apelimet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4D2ED6" w:rsidRPr="0053783F">
        <w:rPr>
          <w:rFonts w:ascii="Garamond" w:hAnsi="Garamond"/>
          <w:iCs/>
          <w:szCs w:val="24"/>
          <w:lang w:val="sq-AL"/>
        </w:rPr>
        <w:t xml:space="preserve"> 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4D2ED6" w:rsidRPr="0053783F">
        <w:rPr>
          <w:rFonts w:ascii="Garamond" w:hAnsi="Garamond"/>
          <w:iCs/>
          <w:szCs w:val="24"/>
          <w:lang w:val="sq-AL"/>
        </w:rPr>
        <w:t xml:space="preserve"> fush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4D2ED6" w:rsidRPr="0053783F">
        <w:rPr>
          <w:rFonts w:ascii="Garamond" w:hAnsi="Garamond"/>
          <w:iCs/>
          <w:szCs w:val="24"/>
          <w:lang w:val="sq-AL"/>
        </w:rPr>
        <w:t>, si edhe ishte jo proporcionale.</w:t>
      </w:r>
    </w:p>
    <w:p w14:paraId="06FEE4C5" w14:textId="2954B480" w:rsidR="004D2ED6" w:rsidRPr="0053783F" w:rsidRDefault="00DA2AC0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 xml:space="preserve">12. </w:t>
      </w:r>
      <w:r w:rsidR="004D2ED6" w:rsidRPr="0053783F">
        <w:rPr>
          <w:rFonts w:ascii="Garamond" w:hAnsi="Garamond"/>
          <w:iCs/>
          <w:szCs w:val="24"/>
          <w:lang w:val="sq-AL"/>
        </w:rPr>
        <w:t>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4D2ED6" w:rsidRPr="0053783F">
        <w:rPr>
          <w:rFonts w:ascii="Garamond" w:hAnsi="Garamond"/>
          <w:iCs/>
          <w:szCs w:val="24"/>
          <w:lang w:val="sq-AL"/>
        </w:rPr>
        <w:t xml:space="preserve"> 11 </w:t>
      </w:r>
      <w:r w:rsidR="00D04391">
        <w:rPr>
          <w:rFonts w:ascii="Garamond" w:hAnsi="Garamond"/>
          <w:iCs/>
          <w:szCs w:val="24"/>
          <w:lang w:val="sq-AL"/>
        </w:rPr>
        <w:t>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4D2ED6" w:rsidRPr="0053783F">
        <w:rPr>
          <w:rFonts w:ascii="Garamond" w:hAnsi="Garamond"/>
          <w:iCs/>
          <w:szCs w:val="24"/>
          <w:lang w:val="sq-AL"/>
        </w:rPr>
        <w:t>ntor 2016, Gjykata Kushtetuese vendosi se apelimi kushtetues i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4D2ED6" w:rsidRPr="0053783F">
        <w:rPr>
          <w:rFonts w:ascii="Garamond" w:hAnsi="Garamond"/>
          <w:iCs/>
          <w:szCs w:val="24"/>
          <w:lang w:val="sq-AL"/>
        </w:rPr>
        <w:t>rkuesit synonte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4D2ED6" w:rsidRPr="0053783F">
        <w:rPr>
          <w:rFonts w:ascii="Garamond" w:hAnsi="Garamond"/>
          <w:iCs/>
          <w:szCs w:val="24"/>
          <w:lang w:val="sq-AL"/>
        </w:rPr>
        <w:t xml:space="preserve"> kund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4D2ED6" w:rsidRPr="0053783F">
        <w:rPr>
          <w:rFonts w:ascii="Garamond" w:hAnsi="Garamond"/>
          <w:iCs/>
          <w:szCs w:val="24"/>
          <w:lang w:val="sq-AL"/>
        </w:rPr>
        <w:t xml:space="preserve">rshtonte </w:t>
      </w:r>
      <w:r w:rsidR="004D2ED6" w:rsidRPr="0053783F">
        <w:rPr>
          <w:rFonts w:ascii="Garamond" w:hAnsi="Garamond"/>
          <w:i/>
          <w:szCs w:val="24"/>
          <w:lang w:val="sq-AL"/>
        </w:rPr>
        <w:t>in abstracto</w:t>
      </w:r>
      <w:r w:rsidR="004D2ED6" w:rsidRPr="0053783F">
        <w:rPr>
          <w:rFonts w:ascii="Garamond" w:hAnsi="Garamond"/>
          <w:iCs/>
          <w:szCs w:val="24"/>
          <w:lang w:val="sq-AL"/>
        </w:rPr>
        <w:t xml:space="preserve"> kushtetueshm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4D2ED6" w:rsidRPr="0053783F">
        <w:rPr>
          <w:rFonts w:ascii="Garamond" w:hAnsi="Garamond"/>
          <w:iCs/>
          <w:szCs w:val="24"/>
          <w:lang w:val="sq-AL"/>
        </w:rPr>
        <w:t>rin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4D2ED6" w:rsidRPr="0053783F">
        <w:rPr>
          <w:rFonts w:ascii="Garamond" w:hAnsi="Garamond"/>
          <w:iCs/>
          <w:szCs w:val="24"/>
          <w:lang w:val="sq-AL"/>
        </w:rPr>
        <w:t xml:space="preserve"> e Kodit Doganor, dhe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4D2ED6" w:rsidRPr="0053783F">
        <w:rPr>
          <w:rFonts w:ascii="Garamond" w:hAnsi="Garamond"/>
          <w:iCs/>
          <w:szCs w:val="24"/>
          <w:lang w:val="sq-AL"/>
        </w:rPr>
        <w:t xml:space="preserve">rkuesi nuk kishte </w:t>
      </w:r>
      <w:r w:rsidR="00740C89" w:rsidRPr="0053783F">
        <w:rPr>
          <w:rFonts w:ascii="Garamond" w:hAnsi="Garamond"/>
          <w:iCs/>
          <w:szCs w:val="24"/>
          <w:lang w:val="sq-AL"/>
        </w:rPr>
        <w:t xml:space="preserve">pozita juridike </w:t>
      </w:r>
      <w:r w:rsidR="004D2ED6" w:rsidRPr="0053783F">
        <w:rPr>
          <w:rFonts w:ascii="Garamond" w:hAnsi="Garamond"/>
          <w:iCs/>
          <w:szCs w:val="24"/>
          <w:lang w:val="sq-AL"/>
        </w:rPr>
        <w:t>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4D2ED6" w:rsidRPr="0053783F">
        <w:rPr>
          <w:rFonts w:ascii="Garamond" w:hAnsi="Garamond"/>
          <w:iCs/>
          <w:szCs w:val="24"/>
          <w:lang w:val="sq-AL"/>
        </w:rPr>
        <w:t xml:space="preserve">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4D2ED6" w:rsidRPr="0053783F">
        <w:rPr>
          <w:rFonts w:ascii="Garamond" w:hAnsi="Garamond"/>
          <w:iCs/>
          <w:szCs w:val="24"/>
          <w:lang w:val="sq-AL"/>
        </w:rPr>
        <w:t>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4D2ED6" w:rsidRPr="0053783F">
        <w:rPr>
          <w:rFonts w:ascii="Garamond" w:hAnsi="Garamond"/>
          <w:iCs/>
          <w:szCs w:val="24"/>
          <w:lang w:val="sq-AL"/>
        </w:rPr>
        <w:t xml:space="preserve"> proces.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4D2ED6" w:rsidRPr="0053783F">
        <w:rPr>
          <w:rFonts w:ascii="Garamond" w:hAnsi="Garamond"/>
          <w:iCs/>
          <w:szCs w:val="24"/>
          <w:lang w:val="sq-AL"/>
        </w:rPr>
        <w:t>r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4D2ED6" w:rsidRPr="0053783F">
        <w:rPr>
          <w:rFonts w:ascii="Garamond" w:hAnsi="Garamond"/>
          <w:iCs/>
          <w:szCs w:val="24"/>
          <w:lang w:val="sq-AL"/>
        </w:rPr>
        <w:t>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4D2ED6" w:rsidRPr="0053783F">
        <w:rPr>
          <w:rFonts w:ascii="Garamond" w:hAnsi="Garamond"/>
          <w:iCs/>
          <w:szCs w:val="24"/>
          <w:lang w:val="sq-AL"/>
        </w:rPr>
        <w:t xml:space="preserve"> arsye</w:t>
      </w:r>
      <w:r w:rsidR="00D04391">
        <w:rPr>
          <w:rFonts w:ascii="Garamond" w:hAnsi="Garamond"/>
          <w:iCs/>
          <w:szCs w:val="24"/>
          <w:lang w:val="sq-AL"/>
        </w:rPr>
        <w:t>,</w:t>
      </w:r>
      <w:r w:rsidR="004D2ED6" w:rsidRPr="0053783F">
        <w:rPr>
          <w:rFonts w:ascii="Garamond" w:hAnsi="Garamond"/>
          <w:iCs/>
          <w:szCs w:val="24"/>
          <w:lang w:val="sq-AL"/>
        </w:rPr>
        <w:t xml:space="preserve"> Gjykata Kushtetuese e deklaroi apelimin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4D2ED6" w:rsidRPr="0053783F">
        <w:rPr>
          <w:rFonts w:ascii="Garamond" w:hAnsi="Garamond"/>
          <w:iCs/>
          <w:szCs w:val="24"/>
          <w:lang w:val="sq-AL"/>
        </w:rPr>
        <w:t xml:space="preserve"> papranuesh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4D2ED6" w:rsidRPr="0053783F">
        <w:rPr>
          <w:rFonts w:ascii="Garamond" w:hAnsi="Garamond"/>
          <w:iCs/>
          <w:szCs w:val="24"/>
          <w:lang w:val="sq-AL"/>
        </w:rPr>
        <w:t xml:space="preserve">m. </w:t>
      </w:r>
    </w:p>
    <w:p w14:paraId="662E53BB" w14:textId="7B831EFF" w:rsidR="004D2ED6" w:rsidRPr="0053783F" w:rsidRDefault="00DA2AC0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 xml:space="preserve">13. </w:t>
      </w:r>
      <w:r w:rsidR="00912EDF" w:rsidRPr="0053783F">
        <w:rPr>
          <w:rFonts w:ascii="Garamond" w:hAnsi="Garamond"/>
          <w:iCs/>
          <w:szCs w:val="24"/>
          <w:lang w:val="sq-AL"/>
        </w:rPr>
        <w:t>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>rkesa ka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 b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>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 me ankes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>n e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>rkuesit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r </w:t>
      </w:r>
      <w:r w:rsidR="00740C89" w:rsidRPr="0053783F">
        <w:rPr>
          <w:rFonts w:ascii="Garamond" w:hAnsi="Garamond"/>
          <w:iCs/>
          <w:szCs w:val="24"/>
          <w:lang w:val="sq-AL"/>
        </w:rPr>
        <w:t>pretendimin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>r shkelje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 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 drejt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>s 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 tij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>r t’iu drejtuar gjykat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s sipas </w:t>
      </w:r>
      <w:r w:rsidR="008E47E2">
        <w:rPr>
          <w:rFonts w:ascii="Garamond" w:hAnsi="Garamond"/>
          <w:iCs/>
          <w:szCs w:val="24"/>
          <w:lang w:val="sq-AL"/>
        </w:rPr>
        <w:t>n</w:t>
      </w:r>
      <w:r w:rsidR="00912EDF" w:rsidRPr="0053783F">
        <w:rPr>
          <w:rFonts w:ascii="Garamond" w:hAnsi="Garamond"/>
          <w:iCs/>
          <w:szCs w:val="24"/>
          <w:lang w:val="sq-AL"/>
        </w:rPr>
        <w:t>enit 6 § 1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 Konvent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>s</w:t>
      </w:r>
      <w:r w:rsidR="00D04391">
        <w:rPr>
          <w:rFonts w:ascii="Garamond" w:hAnsi="Garamond"/>
          <w:iCs/>
          <w:szCs w:val="24"/>
          <w:lang w:val="sq-AL"/>
        </w:rPr>
        <w:t>,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 </w:t>
      </w:r>
      <w:r w:rsidR="00740C89" w:rsidRPr="0053783F">
        <w:rPr>
          <w:rFonts w:ascii="Garamond" w:hAnsi="Garamond"/>
          <w:iCs/>
          <w:szCs w:val="24"/>
          <w:lang w:val="sq-AL"/>
        </w:rPr>
        <w:t>sipas kërkesës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>r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 parapaguar 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 pjes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 gjob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>s 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 dogan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>s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>rpara se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 mund ta kund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>rshtonte 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>. Gjithashtu,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>rkesa ka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 b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>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 edhe me pretendimin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>r shkelje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 </w:t>
      </w:r>
      <w:r w:rsidR="008E47E2">
        <w:rPr>
          <w:rFonts w:ascii="Garamond" w:hAnsi="Garamond"/>
          <w:iCs/>
          <w:szCs w:val="24"/>
          <w:lang w:val="sq-AL"/>
        </w:rPr>
        <w:t>n</w:t>
      </w:r>
      <w:r w:rsidR="00912EDF" w:rsidRPr="0053783F">
        <w:rPr>
          <w:rFonts w:ascii="Garamond" w:hAnsi="Garamond"/>
          <w:iCs/>
          <w:szCs w:val="24"/>
          <w:lang w:val="sq-AL"/>
        </w:rPr>
        <w:t>enit 1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 Protokollit</w:t>
      </w:r>
      <w:r w:rsidR="00D04391">
        <w:rPr>
          <w:rFonts w:ascii="Garamond" w:hAnsi="Garamond"/>
          <w:iCs/>
          <w:szCs w:val="24"/>
          <w:lang w:val="sq-AL"/>
        </w:rPr>
        <w:t>,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 </w:t>
      </w:r>
      <w:r w:rsidR="008E47E2">
        <w:rPr>
          <w:rFonts w:ascii="Garamond" w:hAnsi="Garamond"/>
          <w:iCs/>
          <w:szCs w:val="24"/>
          <w:lang w:val="sq-AL"/>
        </w:rPr>
        <w:t>n</w:t>
      </w:r>
      <w:r w:rsidR="00912EDF" w:rsidRPr="0053783F">
        <w:rPr>
          <w:rFonts w:ascii="Garamond" w:hAnsi="Garamond"/>
          <w:iCs/>
          <w:szCs w:val="24"/>
          <w:lang w:val="sq-AL"/>
        </w:rPr>
        <w:t>r. 1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 Konvent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>s</w:t>
      </w:r>
      <w:r w:rsidR="00D04391">
        <w:rPr>
          <w:rFonts w:ascii="Garamond" w:hAnsi="Garamond"/>
          <w:iCs/>
          <w:szCs w:val="24"/>
          <w:lang w:val="sq-AL"/>
        </w:rPr>
        <w:t>.</w:t>
      </w:r>
    </w:p>
    <w:p w14:paraId="04849B06" w14:textId="3E178E6C" w:rsidR="00912EDF" w:rsidRPr="0053783F" w:rsidRDefault="00912EDF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>VLER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>SIMI I GJYKAT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>S</w:t>
      </w:r>
    </w:p>
    <w:p w14:paraId="713C0936" w14:textId="704904DC" w:rsidR="00912EDF" w:rsidRPr="0053783F" w:rsidRDefault="00DA2AC0" w:rsidP="00DA2AC0">
      <w:pPr>
        <w:pStyle w:val="ECHRDecisionBody"/>
        <w:ind w:firstLine="284"/>
        <w:jc w:val="both"/>
        <w:rPr>
          <w:rFonts w:ascii="Garamond" w:hAnsi="Garamond"/>
          <w:b/>
          <w:bCs/>
          <w:iCs/>
          <w:szCs w:val="24"/>
          <w:lang w:val="sq-AL"/>
        </w:rPr>
      </w:pPr>
      <w:r w:rsidRPr="0053783F">
        <w:rPr>
          <w:rFonts w:ascii="Garamond" w:hAnsi="Garamond"/>
          <w:b/>
          <w:bCs/>
          <w:iCs/>
          <w:szCs w:val="24"/>
          <w:lang w:val="sq-AL"/>
        </w:rPr>
        <w:t xml:space="preserve">A. </w:t>
      </w:r>
      <w:r w:rsidR="00912EDF" w:rsidRPr="0053783F">
        <w:rPr>
          <w:rFonts w:ascii="Garamond" w:hAnsi="Garamond"/>
          <w:b/>
          <w:bCs/>
          <w:iCs/>
          <w:szCs w:val="24"/>
          <w:lang w:val="sq-AL"/>
        </w:rPr>
        <w:t>Neni 6 § 1 i Konvent</w:t>
      </w:r>
      <w:r w:rsidR="00740C89" w:rsidRPr="0053783F">
        <w:rPr>
          <w:rFonts w:ascii="Garamond" w:hAnsi="Garamond"/>
          <w:b/>
          <w:bCs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b/>
          <w:bCs/>
          <w:iCs/>
          <w:szCs w:val="24"/>
          <w:lang w:val="sq-AL"/>
        </w:rPr>
        <w:t>s</w:t>
      </w:r>
    </w:p>
    <w:p w14:paraId="2A761745" w14:textId="0C9BEF2A" w:rsidR="00912EDF" w:rsidRPr="0053783F" w:rsidRDefault="00DA2AC0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 xml:space="preserve">14. </w:t>
      </w:r>
      <w:r w:rsidR="00912EDF" w:rsidRPr="0053783F">
        <w:rPr>
          <w:rFonts w:ascii="Garamond" w:hAnsi="Garamond"/>
          <w:iCs/>
          <w:szCs w:val="24"/>
          <w:lang w:val="sq-AL"/>
        </w:rPr>
        <w:t>Çështjet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 lidhje me taksat, si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>to q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 tashm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 gjenden pran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 Gjykat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>s, krijojn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 </w:t>
      </w:r>
      <w:r w:rsidR="00287DED" w:rsidRPr="0053783F">
        <w:rPr>
          <w:rFonts w:ascii="Garamond" w:hAnsi="Garamond"/>
          <w:iCs/>
          <w:szCs w:val="24"/>
          <w:lang w:val="sq-AL"/>
        </w:rPr>
        <w:t xml:space="preserve">esencën e prerogativës së autoritetit publik </w:t>
      </w:r>
      <w:r w:rsidR="00912EDF" w:rsidRPr="0053783F">
        <w:rPr>
          <w:rFonts w:ascii="Garamond" w:hAnsi="Garamond"/>
          <w:iCs/>
          <w:szCs w:val="24"/>
          <w:lang w:val="sq-AL"/>
        </w:rPr>
        <w:t>ku natyra publike e marr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>dh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>nies midis taksapaguesit dhe komunitetit mbetet predominuese, pavar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>sisht efekteve pasurore q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 mosmarr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>veshjet tatimore shkaktojn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 detyrimisht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r taksapaguesin. </w:t>
      </w:r>
      <w:r w:rsidR="006D167A" w:rsidRPr="0053783F">
        <w:rPr>
          <w:rFonts w:ascii="Garamond" w:hAnsi="Garamond"/>
          <w:iCs/>
          <w:szCs w:val="24"/>
          <w:lang w:val="sq-AL"/>
        </w:rPr>
        <w:t>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6D167A" w:rsidRPr="0053783F">
        <w:rPr>
          <w:rFonts w:ascii="Garamond" w:hAnsi="Garamond"/>
          <w:iCs/>
          <w:szCs w:val="24"/>
          <w:lang w:val="sq-AL"/>
        </w:rPr>
        <w:t>r rrjedhoj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6D167A" w:rsidRPr="0053783F">
        <w:rPr>
          <w:rFonts w:ascii="Garamond" w:hAnsi="Garamond"/>
          <w:iCs/>
          <w:szCs w:val="24"/>
          <w:lang w:val="sq-AL"/>
        </w:rPr>
        <w:t>,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 </w:t>
      </w:r>
      <w:r w:rsidR="0068031E">
        <w:rPr>
          <w:rFonts w:ascii="Garamond" w:hAnsi="Garamond"/>
          <w:iCs/>
          <w:szCs w:val="24"/>
          <w:lang w:val="sq-AL"/>
        </w:rPr>
        <w:t>n</w:t>
      </w:r>
      <w:r w:rsidR="00912EDF" w:rsidRPr="0053783F">
        <w:rPr>
          <w:rFonts w:ascii="Garamond" w:hAnsi="Garamond"/>
          <w:iCs/>
          <w:szCs w:val="24"/>
          <w:lang w:val="sq-AL"/>
        </w:rPr>
        <w:t>eni 6 § 1 i Konvent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s nuk 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>sht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 i zbatuesh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m </w:t>
      </w:r>
      <w:r w:rsidR="006D167A" w:rsidRPr="0053783F">
        <w:rPr>
          <w:rFonts w:ascii="Garamond" w:hAnsi="Garamond"/>
          <w:iCs/>
          <w:szCs w:val="24"/>
          <w:lang w:val="sq-AL"/>
        </w:rPr>
        <w:t>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6D167A" w:rsidRPr="0053783F">
        <w:rPr>
          <w:rFonts w:ascii="Garamond" w:hAnsi="Garamond"/>
          <w:iCs/>
          <w:szCs w:val="24"/>
          <w:lang w:val="sq-AL"/>
        </w:rPr>
        <w:t>r sa i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6D167A" w:rsidRPr="0053783F">
        <w:rPr>
          <w:rFonts w:ascii="Garamond" w:hAnsi="Garamond"/>
          <w:iCs/>
          <w:szCs w:val="24"/>
          <w:lang w:val="sq-AL"/>
        </w:rPr>
        <w:t>rket aspektit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6D167A" w:rsidRPr="0053783F">
        <w:rPr>
          <w:rFonts w:ascii="Garamond" w:hAnsi="Garamond"/>
          <w:iCs/>
          <w:szCs w:val="24"/>
          <w:lang w:val="sq-AL"/>
        </w:rPr>
        <w:t xml:space="preserve"> tij civil</w:t>
      </w:r>
      <w:r w:rsidR="00287DED" w:rsidRPr="0053783F">
        <w:rPr>
          <w:rFonts w:ascii="Garamond" w:hAnsi="Garamond"/>
          <w:iCs/>
          <w:szCs w:val="24"/>
          <w:lang w:val="sq-AL"/>
        </w:rPr>
        <w:t xml:space="preserve"> </w:t>
      </w:r>
      <w:r w:rsidR="00912EDF" w:rsidRPr="0053783F">
        <w:rPr>
          <w:rFonts w:ascii="Garamond" w:hAnsi="Garamond"/>
          <w:iCs/>
          <w:szCs w:val="24"/>
          <w:lang w:val="sq-AL"/>
        </w:rPr>
        <w:t>(shih, 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 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12EDF" w:rsidRPr="0053783F">
        <w:rPr>
          <w:rFonts w:ascii="Garamond" w:hAnsi="Garamond"/>
          <w:iCs/>
          <w:szCs w:val="24"/>
          <w:lang w:val="sq-AL"/>
        </w:rPr>
        <w:t xml:space="preserve"> fundmi, </w:t>
      </w:r>
      <w:r w:rsidR="00912EDF" w:rsidRPr="0053783F">
        <w:rPr>
          <w:rFonts w:ascii="Garamond" w:hAnsi="Garamond"/>
          <w:i/>
          <w:szCs w:val="24"/>
          <w:lang w:val="sq-AL"/>
        </w:rPr>
        <w:t>V</w:t>
      </w:r>
      <w:r w:rsidR="006D167A" w:rsidRPr="0053783F">
        <w:rPr>
          <w:rFonts w:ascii="Garamond" w:hAnsi="Garamond"/>
          <w:i/>
          <w:szCs w:val="24"/>
          <w:lang w:val="sq-AL"/>
        </w:rPr>
        <w:t>egotex International S.A. kund</w:t>
      </w:r>
      <w:r w:rsidR="00740C89" w:rsidRPr="0053783F">
        <w:rPr>
          <w:rFonts w:ascii="Garamond" w:hAnsi="Garamond"/>
          <w:i/>
          <w:szCs w:val="24"/>
          <w:lang w:val="sq-AL"/>
        </w:rPr>
        <w:t>ë</w:t>
      </w:r>
      <w:r w:rsidR="006D167A" w:rsidRPr="0053783F">
        <w:rPr>
          <w:rFonts w:ascii="Garamond" w:hAnsi="Garamond"/>
          <w:i/>
          <w:szCs w:val="24"/>
          <w:lang w:val="sq-AL"/>
        </w:rPr>
        <w:t>r Belgjik</w:t>
      </w:r>
      <w:r w:rsidR="00740C89" w:rsidRPr="0053783F">
        <w:rPr>
          <w:rFonts w:ascii="Garamond" w:hAnsi="Garamond"/>
          <w:i/>
          <w:szCs w:val="24"/>
          <w:lang w:val="sq-AL"/>
        </w:rPr>
        <w:t>ë</w:t>
      </w:r>
      <w:r w:rsidR="006D167A" w:rsidRPr="0053783F">
        <w:rPr>
          <w:rFonts w:ascii="Garamond" w:hAnsi="Garamond"/>
          <w:i/>
          <w:szCs w:val="24"/>
          <w:lang w:val="sq-AL"/>
        </w:rPr>
        <w:t>s</w:t>
      </w:r>
      <w:r w:rsidR="006D167A" w:rsidRPr="0053783F">
        <w:rPr>
          <w:rFonts w:ascii="Garamond" w:hAnsi="Garamond"/>
          <w:iCs/>
          <w:szCs w:val="24"/>
          <w:lang w:val="sq-AL"/>
        </w:rPr>
        <w:t xml:space="preserve"> ([DHM], nr. 49812/09, § 66, 3 </w:t>
      </w:r>
      <w:r w:rsidR="00605F81">
        <w:rPr>
          <w:rFonts w:ascii="Garamond" w:hAnsi="Garamond"/>
          <w:iCs/>
          <w:szCs w:val="24"/>
          <w:lang w:val="sq-AL"/>
        </w:rPr>
        <w:t>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6D167A" w:rsidRPr="0053783F">
        <w:rPr>
          <w:rFonts w:ascii="Garamond" w:hAnsi="Garamond"/>
          <w:iCs/>
          <w:szCs w:val="24"/>
          <w:lang w:val="sq-AL"/>
        </w:rPr>
        <w:t>ntor 2022</w:t>
      </w:r>
      <w:r w:rsidR="00912EDF" w:rsidRPr="0053783F">
        <w:rPr>
          <w:rFonts w:ascii="Garamond" w:hAnsi="Garamond"/>
          <w:iCs/>
          <w:szCs w:val="24"/>
          <w:lang w:val="sq-AL"/>
        </w:rPr>
        <w:t>)</w:t>
      </w:r>
      <w:r w:rsidR="006D167A" w:rsidRPr="0053783F">
        <w:rPr>
          <w:rFonts w:ascii="Garamond" w:hAnsi="Garamond"/>
          <w:iCs/>
          <w:szCs w:val="24"/>
          <w:lang w:val="sq-AL"/>
        </w:rPr>
        <w:t>.</w:t>
      </w:r>
    </w:p>
    <w:p w14:paraId="79308252" w14:textId="1A06A95C" w:rsidR="006D167A" w:rsidRPr="0053783F" w:rsidRDefault="00DA2AC0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 xml:space="preserve">15. </w:t>
      </w:r>
      <w:r w:rsidR="006D167A" w:rsidRPr="0053783F">
        <w:rPr>
          <w:rFonts w:ascii="Garamond" w:hAnsi="Garamond"/>
          <w:iCs/>
          <w:szCs w:val="24"/>
          <w:lang w:val="sq-AL"/>
        </w:rPr>
        <w:t>Megjithat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6D167A" w:rsidRPr="0053783F">
        <w:rPr>
          <w:rFonts w:ascii="Garamond" w:hAnsi="Garamond"/>
          <w:iCs/>
          <w:szCs w:val="24"/>
          <w:lang w:val="sq-AL"/>
        </w:rPr>
        <w:t xml:space="preserve">, 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6D167A" w:rsidRPr="0053783F">
        <w:rPr>
          <w:rFonts w:ascii="Garamond" w:hAnsi="Garamond"/>
          <w:iCs/>
          <w:szCs w:val="24"/>
          <w:lang w:val="sq-AL"/>
        </w:rPr>
        <w:t>sht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6D167A" w:rsidRPr="0053783F">
        <w:rPr>
          <w:rFonts w:ascii="Garamond" w:hAnsi="Garamond"/>
          <w:iCs/>
          <w:szCs w:val="24"/>
          <w:lang w:val="sq-AL"/>
        </w:rPr>
        <w:t xml:space="preserve"> konstatuar se aspekti penal i </w:t>
      </w:r>
      <w:r w:rsidR="00605F81">
        <w:rPr>
          <w:rFonts w:ascii="Garamond" w:hAnsi="Garamond"/>
          <w:iCs/>
          <w:szCs w:val="24"/>
          <w:lang w:val="sq-AL"/>
        </w:rPr>
        <w:t>n</w:t>
      </w:r>
      <w:r w:rsidR="006D167A" w:rsidRPr="0053783F">
        <w:rPr>
          <w:rFonts w:ascii="Garamond" w:hAnsi="Garamond"/>
          <w:iCs/>
          <w:szCs w:val="24"/>
          <w:lang w:val="sq-AL"/>
        </w:rPr>
        <w:t>enit 6 § 1 zbatohet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6D167A" w:rsidRPr="0053783F">
        <w:rPr>
          <w:rFonts w:ascii="Garamond" w:hAnsi="Garamond"/>
          <w:iCs/>
          <w:szCs w:val="24"/>
          <w:lang w:val="sq-AL"/>
        </w:rPr>
        <w:t>r tarifat tatimore shtes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6D167A" w:rsidRPr="0053783F">
        <w:rPr>
          <w:rFonts w:ascii="Garamond" w:hAnsi="Garamond"/>
          <w:iCs/>
          <w:szCs w:val="24"/>
          <w:lang w:val="sq-AL"/>
        </w:rPr>
        <w:t>,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6D167A" w:rsidRPr="0053783F">
        <w:rPr>
          <w:rFonts w:ascii="Garamond" w:hAnsi="Garamond"/>
          <w:iCs/>
          <w:szCs w:val="24"/>
          <w:lang w:val="sq-AL"/>
        </w:rPr>
        <w:t xml:space="preserve"> cilat nuk </w:t>
      </w:r>
      <w:r w:rsidR="00287DED" w:rsidRPr="0053783F">
        <w:rPr>
          <w:rFonts w:ascii="Garamond" w:hAnsi="Garamond"/>
          <w:iCs/>
          <w:szCs w:val="24"/>
          <w:lang w:val="sq-AL"/>
        </w:rPr>
        <w:t>konsiderohen</w:t>
      </w:r>
      <w:r w:rsidR="006D167A" w:rsidRPr="0053783F">
        <w:rPr>
          <w:rFonts w:ascii="Garamond" w:hAnsi="Garamond"/>
          <w:iCs/>
          <w:szCs w:val="24"/>
          <w:lang w:val="sq-AL"/>
        </w:rPr>
        <w:t xml:space="preserve"> si kompensim monetar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6D167A" w:rsidRPr="0053783F">
        <w:rPr>
          <w:rFonts w:ascii="Garamond" w:hAnsi="Garamond"/>
          <w:iCs/>
          <w:szCs w:val="24"/>
          <w:lang w:val="sq-AL"/>
        </w:rPr>
        <w:t>r d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6D167A" w:rsidRPr="0053783F">
        <w:rPr>
          <w:rFonts w:ascii="Garamond" w:hAnsi="Garamond"/>
          <w:iCs/>
          <w:szCs w:val="24"/>
          <w:lang w:val="sq-AL"/>
        </w:rPr>
        <w:t>min, por si d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287DED" w:rsidRPr="0053783F">
        <w:rPr>
          <w:rFonts w:ascii="Garamond" w:hAnsi="Garamond"/>
          <w:iCs/>
          <w:szCs w:val="24"/>
          <w:lang w:val="sq-AL"/>
        </w:rPr>
        <w:t>n</w:t>
      </w:r>
      <w:r w:rsidR="006D167A" w:rsidRPr="0053783F">
        <w:rPr>
          <w:rFonts w:ascii="Garamond" w:hAnsi="Garamond"/>
          <w:iCs/>
          <w:szCs w:val="24"/>
          <w:lang w:val="sq-AL"/>
        </w:rPr>
        <w:t>im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6D167A" w:rsidRPr="0053783F">
        <w:rPr>
          <w:rFonts w:ascii="Garamond" w:hAnsi="Garamond"/>
          <w:iCs/>
          <w:szCs w:val="24"/>
          <w:lang w:val="sq-AL"/>
        </w:rPr>
        <w:t>r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6D167A" w:rsidRPr="0053783F">
        <w:rPr>
          <w:rFonts w:ascii="Garamond" w:hAnsi="Garamond"/>
          <w:iCs/>
          <w:szCs w:val="24"/>
          <w:lang w:val="sq-AL"/>
        </w:rPr>
        <w:t xml:space="preserve"> parandaluar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6D167A" w:rsidRPr="0053783F">
        <w:rPr>
          <w:rFonts w:ascii="Garamond" w:hAnsi="Garamond"/>
          <w:iCs/>
          <w:szCs w:val="24"/>
          <w:lang w:val="sq-AL"/>
        </w:rPr>
        <w:t>rs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6D167A" w:rsidRPr="0053783F">
        <w:rPr>
          <w:rFonts w:ascii="Garamond" w:hAnsi="Garamond"/>
          <w:iCs/>
          <w:szCs w:val="24"/>
          <w:lang w:val="sq-AL"/>
        </w:rPr>
        <w:t>ritjen e shkeljes (</w:t>
      </w:r>
      <w:r w:rsidR="006D167A" w:rsidRPr="0053783F">
        <w:rPr>
          <w:rFonts w:ascii="Garamond" w:hAnsi="Garamond"/>
          <w:i/>
          <w:szCs w:val="24"/>
          <w:lang w:val="sq-AL"/>
        </w:rPr>
        <w:t>Jussila kund</w:t>
      </w:r>
      <w:r w:rsidR="00740C89" w:rsidRPr="0053783F">
        <w:rPr>
          <w:rFonts w:ascii="Garamond" w:hAnsi="Garamond"/>
          <w:i/>
          <w:szCs w:val="24"/>
          <w:lang w:val="sq-AL"/>
        </w:rPr>
        <w:t>ë</w:t>
      </w:r>
      <w:r w:rsidR="006D167A" w:rsidRPr="0053783F">
        <w:rPr>
          <w:rFonts w:ascii="Garamond" w:hAnsi="Garamond"/>
          <w:i/>
          <w:szCs w:val="24"/>
          <w:lang w:val="sq-AL"/>
        </w:rPr>
        <w:t>r Finland</w:t>
      </w:r>
      <w:r w:rsidR="00740C89" w:rsidRPr="0053783F">
        <w:rPr>
          <w:rFonts w:ascii="Garamond" w:hAnsi="Garamond"/>
          <w:i/>
          <w:szCs w:val="24"/>
          <w:lang w:val="sq-AL"/>
        </w:rPr>
        <w:t>ë</w:t>
      </w:r>
      <w:r w:rsidR="006D167A" w:rsidRPr="0053783F">
        <w:rPr>
          <w:rFonts w:ascii="Garamond" w:hAnsi="Garamond"/>
          <w:i/>
          <w:szCs w:val="24"/>
          <w:lang w:val="sq-AL"/>
        </w:rPr>
        <w:t>s</w:t>
      </w:r>
      <w:r w:rsidR="006D167A" w:rsidRPr="0053783F">
        <w:rPr>
          <w:rFonts w:ascii="Garamond" w:hAnsi="Garamond"/>
          <w:iCs/>
          <w:szCs w:val="24"/>
          <w:lang w:val="sq-AL"/>
        </w:rPr>
        <w:t xml:space="preserve"> [DHM], nr. 73053/01, § 38, GJEDNJ 2006-XIV).</w:t>
      </w:r>
    </w:p>
    <w:p w14:paraId="767B7C27" w14:textId="57AE1108" w:rsidR="006D167A" w:rsidRPr="0053783F" w:rsidRDefault="00DA2AC0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 xml:space="preserve"> 16. </w:t>
      </w:r>
      <w:r w:rsidR="00FB545C" w:rsidRPr="0053783F">
        <w:rPr>
          <w:rFonts w:ascii="Garamond" w:hAnsi="Garamond"/>
          <w:iCs/>
          <w:szCs w:val="24"/>
          <w:lang w:val="sq-AL"/>
        </w:rPr>
        <w:t>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</w:t>
      </w:r>
      <w:r w:rsidR="00740C89" w:rsidRPr="0053783F">
        <w:rPr>
          <w:rFonts w:ascii="Garamond" w:hAnsi="Garamond"/>
          <w:iCs/>
          <w:szCs w:val="24"/>
          <w:lang w:val="sq-AL"/>
        </w:rPr>
        <w:t>çë</w:t>
      </w:r>
      <w:r w:rsidR="00FB545C" w:rsidRPr="0053783F">
        <w:rPr>
          <w:rFonts w:ascii="Garamond" w:hAnsi="Garamond"/>
          <w:iCs/>
          <w:szCs w:val="24"/>
          <w:lang w:val="sq-AL"/>
        </w:rPr>
        <w:t>shtjen konkrete,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>rve</w:t>
      </w:r>
      <w:r w:rsidR="00740C89" w:rsidRPr="0053783F">
        <w:rPr>
          <w:rFonts w:ascii="Garamond" w:hAnsi="Garamond"/>
          <w:iCs/>
          <w:szCs w:val="24"/>
          <w:lang w:val="sq-AL"/>
        </w:rPr>
        <w:t>ç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detyrimit doganor, autoritetet vendos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>n ndaj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>rkuesit edhe 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d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>nim shtes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</w:t>
      </w:r>
      <w:r w:rsidR="00287DED" w:rsidRPr="0053783F">
        <w:rPr>
          <w:rFonts w:ascii="Garamond" w:hAnsi="Garamond"/>
          <w:iCs/>
          <w:szCs w:val="24"/>
          <w:lang w:val="sq-AL"/>
        </w:rPr>
        <w:t>barasvlershëm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me 100%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detyrimit (shih paragrafin 7 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sip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r), i cili </w:t>
      </w:r>
      <w:r w:rsidR="00FB545C" w:rsidRPr="0053783F">
        <w:rPr>
          <w:rFonts w:ascii="Garamond" w:hAnsi="Garamond"/>
          <w:i/>
          <w:szCs w:val="24"/>
          <w:lang w:val="sq-AL"/>
        </w:rPr>
        <w:t xml:space="preserve">prima facie </w:t>
      </w:r>
      <w:r w:rsidR="00FB545C" w:rsidRPr="0053783F">
        <w:rPr>
          <w:rFonts w:ascii="Garamond" w:hAnsi="Garamond"/>
          <w:iCs/>
          <w:szCs w:val="24"/>
          <w:lang w:val="sq-AL"/>
        </w:rPr>
        <w:t>duket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ket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pasur 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natyr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nd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>shkuese.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</w:t>
      </w:r>
      <w:r w:rsidR="00740C89" w:rsidRPr="0053783F">
        <w:rPr>
          <w:rFonts w:ascii="Garamond" w:hAnsi="Garamond"/>
          <w:iCs/>
          <w:szCs w:val="24"/>
          <w:lang w:val="sq-AL"/>
        </w:rPr>
        <w:t>ç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do rast, nuk 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>sht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e nevojshme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shqyrtohet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detaj kuadri dhe natyra ligjore e atij d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nimi pasi ankesa 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>sht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e papranueshme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>r arsyet e paraqitura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vijim. </w:t>
      </w:r>
    </w:p>
    <w:p w14:paraId="56F7B6FE" w14:textId="1E09C8FC" w:rsidR="00FB545C" w:rsidRPr="0053783F" w:rsidRDefault="00DA2AC0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lastRenderedPageBreak/>
        <w:t xml:space="preserve">17. </w:t>
      </w:r>
      <w:r w:rsidR="00FB545C" w:rsidRPr="0053783F">
        <w:rPr>
          <w:rFonts w:ascii="Garamond" w:hAnsi="Garamond"/>
          <w:iCs/>
          <w:szCs w:val="24"/>
          <w:lang w:val="sq-AL"/>
        </w:rPr>
        <w:t>E drejta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>r t’iu drejtuar gjykat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s nuk 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>sht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absolute. Ajo mund t’i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>nshtrohet kufizimeve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lejuara me an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interpretimit, ve</w:t>
      </w:r>
      <w:r w:rsidR="00740C89" w:rsidRPr="0053783F">
        <w:rPr>
          <w:rFonts w:ascii="Garamond" w:hAnsi="Garamond"/>
          <w:iCs/>
          <w:szCs w:val="24"/>
          <w:lang w:val="sq-AL"/>
        </w:rPr>
        <w:t>ç</w:t>
      </w:r>
      <w:r w:rsidR="00FB545C" w:rsidRPr="0053783F">
        <w:rPr>
          <w:rFonts w:ascii="Garamond" w:hAnsi="Garamond"/>
          <w:iCs/>
          <w:szCs w:val="24"/>
          <w:lang w:val="sq-AL"/>
        </w:rPr>
        <w:t>an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>risht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lidhje me kushtet e pranueshm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>ris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apelimi. Megjithat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>,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>to kufizime nuk duhet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kufizojn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ushtrimin e 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drejt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>s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>nyr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till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ose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mas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till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q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cenohet vet thelbi i 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drejt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>s. Ato duhet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ndjekin 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q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>llim legjitim dhe duhet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ken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proporcionalitet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drejt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midis mjeteve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>rdorura dhe q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>llimit q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</w:t>
      </w:r>
      <w:r w:rsidR="00D4181F" w:rsidRPr="0053783F">
        <w:rPr>
          <w:rFonts w:ascii="Garamond" w:hAnsi="Garamond"/>
          <w:iCs/>
          <w:szCs w:val="24"/>
          <w:lang w:val="sq-AL"/>
        </w:rPr>
        <w:t>synohet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FB545C" w:rsidRPr="0053783F">
        <w:rPr>
          <w:rFonts w:ascii="Garamond" w:hAnsi="Garamond"/>
          <w:iCs/>
          <w:szCs w:val="24"/>
          <w:lang w:val="sq-AL"/>
        </w:rPr>
        <w:t xml:space="preserve"> arrihet</w:t>
      </w:r>
      <w:r w:rsidR="00D4181F" w:rsidRPr="0053783F">
        <w:rPr>
          <w:rFonts w:ascii="Garamond" w:hAnsi="Garamond"/>
          <w:iCs/>
          <w:szCs w:val="24"/>
          <w:lang w:val="sq-AL"/>
        </w:rPr>
        <w:t xml:space="preserve"> (shih </w:t>
      </w:r>
      <w:r w:rsidR="00D4181F" w:rsidRPr="0053783F">
        <w:rPr>
          <w:rFonts w:ascii="Garamond" w:hAnsi="Garamond"/>
          <w:i/>
          <w:szCs w:val="24"/>
          <w:lang w:val="sq-AL"/>
        </w:rPr>
        <w:t>Omar kund</w:t>
      </w:r>
      <w:r w:rsidR="00740C89" w:rsidRPr="0053783F">
        <w:rPr>
          <w:rFonts w:ascii="Garamond" w:hAnsi="Garamond"/>
          <w:i/>
          <w:szCs w:val="24"/>
          <w:lang w:val="sq-AL"/>
        </w:rPr>
        <w:t>ë</w:t>
      </w:r>
      <w:r w:rsidR="00D4181F" w:rsidRPr="0053783F">
        <w:rPr>
          <w:rFonts w:ascii="Garamond" w:hAnsi="Garamond"/>
          <w:i/>
          <w:szCs w:val="24"/>
          <w:lang w:val="sq-AL"/>
        </w:rPr>
        <w:t>r Franc</w:t>
      </w:r>
      <w:r w:rsidR="00740C89" w:rsidRPr="0053783F">
        <w:rPr>
          <w:rFonts w:ascii="Garamond" w:hAnsi="Garamond"/>
          <w:i/>
          <w:szCs w:val="24"/>
          <w:lang w:val="sq-AL"/>
        </w:rPr>
        <w:t>ë</w:t>
      </w:r>
      <w:r w:rsidR="00D4181F" w:rsidRPr="0053783F">
        <w:rPr>
          <w:rFonts w:ascii="Garamond" w:hAnsi="Garamond"/>
          <w:i/>
          <w:szCs w:val="24"/>
          <w:lang w:val="sq-AL"/>
        </w:rPr>
        <w:t xml:space="preserve">s </w:t>
      </w:r>
      <w:r w:rsidR="00D4181F" w:rsidRPr="0053783F">
        <w:rPr>
          <w:rFonts w:ascii="Garamond" w:hAnsi="Garamond"/>
          <w:iCs/>
          <w:szCs w:val="24"/>
          <w:lang w:val="sq-AL"/>
        </w:rPr>
        <w:t xml:space="preserve">([DHM] nr. 24767/94, § 34, 29 </w:t>
      </w:r>
      <w:r w:rsidR="00605F81">
        <w:rPr>
          <w:rFonts w:ascii="Garamond" w:hAnsi="Garamond"/>
          <w:iCs/>
          <w:szCs w:val="24"/>
          <w:lang w:val="sq-AL"/>
        </w:rPr>
        <w:t>k</w:t>
      </w:r>
      <w:r w:rsidR="00D4181F" w:rsidRPr="0053783F">
        <w:rPr>
          <w:rFonts w:ascii="Garamond" w:hAnsi="Garamond"/>
          <w:iCs/>
          <w:szCs w:val="24"/>
          <w:lang w:val="sq-AL"/>
        </w:rPr>
        <w:t>orrik 1998).</w:t>
      </w:r>
    </w:p>
    <w:p w14:paraId="037CD410" w14:textId="4C6DD31F" w:rsidR="00D4181F" w:rsidRPr="0053783F" w:rsidRDefault="00DA2AC0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 xml:space="preserve">18. </w:t>
      </w:r>
      <w:r w:rsidR="00D4181F" w:rsidRPr="0053783F">
        <w:rPr>
          <w:rFonts w:ascii="Garamond" w:hAnsi="Garamond"/>
          <w:iCs/>
          <w:szCs w:val="24"/>
          <w:lang w:val="sq-AL"/>
        </w:rPr>
        <w:t>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 xml:space="preserve"> </w:t>
      </w:r>
      <w:r w:rsidR="00740C89" w:rsidRPr="0053783F">
        <w:rPr>
          <w:rFonts w:ascii="Garamond" w:hAnsi="Garamond"/>
          <w:iCs/>
          <w:szCs w:val="24"/>
          <w:lang w:val="sq-AL"/>
        </w:rPr>
        <w:t>çë</w:t>
      </w:r>
      <w:r w:rsidR="00D4181F" w:rsidRPr="0053783F">
        <w:rPr>
          <w:rFonts w:ascii="Garamond" w:hAnsi="Garamond"/>
          <w:iCs/>
          <w:szCs w:val="24"/>
          <w:lang w:val="sq-AL"/>
        </w:rPr>
        <w:t>shtjen konkrete, kufizimi ndaj 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 xml:space="preserve"> drejt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>s 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 xml:space="preserve">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>rkuesit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>r t’iu drejtuar gjykat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>s vinte nga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>rkesa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>r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 xml:space="preserve"> parapaguar shum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>n kryesore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 xml:space="preserve"> detyrimit doganor dhe 40%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 xml:space="preserve"> gjob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>s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>rpara se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 xml:space="preserve"> b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>hej ankesa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>r rivler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>sim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 xml:space="preserve"> borxhit.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>rkuesi nuk argumentonte – dhe Gjykata nuk ka arsye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 xml:space="preserve"> gjykoj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 xml:space="preserve"> – se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>rkesa nuk ndiqte 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 xml:space="preserve"> q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>llim legjitim (krahaso me arsyetimin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 xml:space="preserve"> </w:t>
      </w:r>
      <w:r w:rsidR="00D4181F" w:rsidRPr="0053783F">
        <w:rPr>
          <w:rFonts w:ascii="Garamond" w:hAnsi="Garamond"/>
          <w:i/>
          <w:szCs w:val="24"/>
          <w:lang w:val="sq-AL"/>
        </w:rPr>
        <w:t>Leduc kund</w:t>
      </w:r>
      <w:r w:rsidR="00740C89" w:rsidRPr="0053783F">
        <w:rPr>
          <w:rFonts w:ascii="Garamond" w:hAnsi="Garamond"/>
          <w:i/>
          <w:szCs w:val="24"/>
          <w:lang w:val="sq-AL"/>
        </w:rPr>
        <w:t>ë</w:t>
      </w:r>
      <w:r w:rsidR="00D4181F" w:rsidRPr="0053783F">
        <w:rPr>
          <w:rFonts w:ascii="Garamond" w:hAnsi="Garamond"/>
          <w:i/>
          <w:szCs w:val="24"/>
          <w:lang w:val="sq-AL"/>
        </w:rPr>
        <w:t>r Franc</w:t>
      </w:r>
      <w:r w:rsidR="00740C89" w:rsidRPr="0053783F">
        <w:rPr>
          <w:rFonts w:ascii="Garamond" w:hAnsi="Garamond"/>
          <w:i/>
          <w:szCs w:val="24"/>
          <w:lang w:val="sq-AL"/>
        </w:rPr>
        <w:t>ë</w:t>
      </w:r>
      <w:r w:rsidR="00D4181F" w:rsidRPr="0053783F">
        <w:rPr>
          <w:rFonts w:ascii="Garamond" w:hAnsi="Garamond"/>
          <w:i/>
          <w:szCs w:val="24"/>
          <w:lang w:val="sq-AL"/>
        </w:rPr>
        <w:t xml:space="preserve">s, </w:t>
      </w:r>
      <w:r w:rsidR="00D4181F" w:rsidRPr="0053783F">
        <w:rPr>
          <w:rFonts w:ascii="Garamond" w:hAnsi="Garamond"/>
          <w:iCs/>
          <w:szCs w:val="24"/>
          <w:lang w:val="sq-AL"/>
        </w:rPr>
        <w:t xml:space="preserve">(vendim) [Komiteti], nr. 16382/16, § 28, 17 </w:t>
      </w:r>
      <w:r w:rsidR="00605F81">
        <w:rPr>
          <w:rFonts w:ascii="Garamond" w:hAnsi="Garamond"/>
          <w:iCs/>
          <w:szCs w:val="24"/>
          <w:lang w:val="sq-AL"/>
        </w:rPr>
        <w:t>t</w:t>
      </w:r>
      <w:r w:rsidR="00D4181F" w:rsidRPr="0053783F">
        <w:rPr>
          <w:rFonts w:ascii="Garamond" w:hAnsi="Garamond"/>
          <w:iCs/>
          <w:szCs w:val="24"/>
          <w:lang w:val="sq-AL"/>
        </w:rPr>
        <w:t>etor 2017, dhe vendimet e cituara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 xml:space="preserve">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>).</w:t>
      </w:r>
    </w:p>
    <w:p w14:paraId="559DFD0C" w14:textId="426589CC" w:rsidR="00D4181F" w:rsidRPr="0053783F" w:rsidRDefault="00DA2AC0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 xml:space="preserve">19. </w:t>
      </w:r>
      <w:r w:rsidR="00D4181F" w:rsidRPr="0053783F">
        <w:rPr>
          <w:rFonts w:ascii="Garamond" w:hAnsi="Garamond"/>
          <w:iCs/>
          <w:szCs w:val="24"/>
          <w:lang w:val="sq-AL"/>
        </w:rPr>
        <w:t>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>r sa ka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 xml:space="preserve"> b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>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 xml:space="preserve"> me proporcionalitetin,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 xml:space="preserve"> parashtrimet e tij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 xml:space="preserve">rpara gjykatave normale vendase, </w:t>
      </w:r>
      <w:r w:rsidR="00287DED" w:rsidRPr="0053783F">
        <w:rPr>
          <w:rFonts w:ascii="Garamond" w:hAnsi="Garamond"/>
          <w:iCs/>
          <w:szCs w:val="24"/>
          <w:lang w:val="sq-AL"/>
        </w:rPr>
        <w:t>kërkuesi</w:t>
      </w:r>
      <w:r w:rsidR="00D4181F" w:rsidRPr="0053783F">
        <w:rPr>
          <w:rFonts w:ascii="Garamond" w:hAnsi="Garamond"/>
          <w:iCs/>
          <w:szCs w:val="24"/>
          <w:lang w:val="sq-AL"/>
        </w:rPr>
        <w:t xml:space="preserve"> këmbëngulte se duke qen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 xml:space="preserve"> se detyrimi fillestar doganor ishte i paligjsh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>m, atij nuk duhej t’i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>rkohej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 xml:space="preserve"> paguante ndonj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 xml:space="preserve"> shum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 xml:space="preserve">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>rpara se ta kund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>rshtonte 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>.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>rkuesi nuk argumentoi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>rpara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>tyre gjykatave se shuma e cila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>rkohej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 xml:space="preserve"> parapaguhej ishte e tep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D4181F" w:rsidRPr="0053783F">
        <w:rPr>
          <w:rFonts w:ascii="Garamond" w:hAnsi="Garamond"/>
          <w:iCs/>
          <w:szCs w:val="24"/>
          <w:lang w:val="sq-AL"/>
        </w:rPr>
        <w:t xml:space="preserve">rt ose </w:t>
      </w:r>
      <w:r w:rsidR="000C7107" w:rsidRPr="0053783F">
        <w:rPr>
          <w:rFonts w:ascii="Garamond" w:hAnsi="Garamond"/>
          <w:iCs/>
          <w:szCs w:val="24"/>
          <w:lang w:val="sq-AL"/>
        </w:rPr>
        <w:t>se ajo vendoste 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 xml:space="preserve"> barrier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 xml:space="preserve">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 xml:space="preserve"> paarsyeshme ose ndaluese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>r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 xml:space="preserve"> ushtruar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 xml:space="preserve"> drejt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>n e tij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>r t’iu drejtuar gjykat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>s (shih paragrafin 11 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 xml:space="preserve"> sip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>r).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 xml:space="preserve">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>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 xml:space="preserve"> 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>nyr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>,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>rkuesi u ankua kryesisht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>r vet detyrimin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>r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 xml:space="preserve"> paguar sipas ligjit vendas, dhe jo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>r proporcionalitetin e tij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 xml:space="preserve"> </w:t>
      </w:r>
      <w:r w:rsidR="00740C89" w:rsidRPr="0053783F">
        <w:rPr>
          <w:rFonts w:ascii="Garamond" w:hAnsi="Garamond"/>
          <w:iCs/>
          <w:szCs w:val="24"/>
          <w:lang w:val="sq-AL"/>
        </w:rPr>
        <w:t>çë</w:t>
      </w:r>
      <w:r w:rsidR="000C7107" w:rsidRPr="0053783F">
        <w:rPr>
          <w:rFonts w:ascii="Garamond" w:hAnsi="Garamond"/>
          <w:iCs/>
          <w:szCs w:val="24"/>
          <w:lang w:val="sq-AL"/>
        </w:rPr>
        <w:t>shtjen e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>rkuesit. Gjithashtu, ai nuk iu dha autoriteteve vendase ndonj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 xml:space="preserve"> element faktik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>r situat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>n e tij financiare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 xml:space="preserve"> 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>nyr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 xml:space="preserve"> q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 xml:space="preserve"> ato autoritete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 xml:space="preserve"> mund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 xml:space="preserve"> vler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>sonin proporcionalitetin e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>rkes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>s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>r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 xml:space="preserve"> parapaguar shum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>n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 xml:space="preserve"> fjal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 xml:space="preserve">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>rkundrejt gjendjes 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 xml:space="preserve"> tij financiare (shih,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>r nj</w:t>
      </w:r>
      <w:r w:rsidR="00605F81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 xml:space="preserve"> situat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 xml:space="preserve">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 xml:space="preserve"> ngjashme, </w:t>
      </w:r>
      <w:r w:rsidR="000C7107" w:rsidRPr="0053783F">
        <w:rPr>
          <w:rFonts w:ascii="Garamond" w:hAnsi="Garamond"/>
          <w:i/>
          <w:szCs w:val="24"/>
          <w:lang w:val="sq-AL"/>
        </w:rPr>
        <w:t>Tcaciuc dhe t</w:t>
      </w:r>
      <w:r w:rsidR="00740C89" w:rsidRPr="0053783F">
        <w:rPr>
          <w:rFonts w:ascii="Garamond" w:hAnsi="Garamond"/>
          <w:i/>
          <w:szCs w:val="24"/>
          <w:lang w:val="sq-AL"/>
        </w:rPr>
        <w:t>ë</w:t>
      </w:r>
      <w:r w:rsidR="000C7107" w:rsidRPr="0053783F">
        <w:rPr>
          <w:rFonts w:ascii="Garamond" w:hAnsi="Garamond"/>
          <w:i/>
          <w:szCs w:val="24"/>
          <w:lang w:val="sq-AL"/>
        </w:rPr>
        <w:t xml:space="preserve"> Tjer</w:t>
      </w:r>
      <w:r w:rsidR="00740C89" w:rsidRPr="0053783F">
        <w:rPr>
          <w:rFonts w:ascii="Garamond" w:hAnsi="Garamond"/>
          <w:i/>
          <w:szCs w:val="24"/>
          <w:lang w:val="sq-AL"/>
        </w:rPr>
        <w:t>ë</w:t>
      </w:r>
      <w:r w:rsidR="000C7107" w:rsidRPr="0053783F">
        <w:rPr>
          <w:rFonts w:ascii="Garamond" w:hAnsi="Garamond"/>
          <w:i/>
          <w:szCs w:val="24"/>
          <w:lang w:val="sq-AL"/>
        </w:rPr>
        <w:t>t kund</w:t>
      </w:r>
      <w:r w:rsidR="00740C89" w:rsidRPr="0053783F">
        <w:rPr>
          <w:rFonts w:ascii="Garamond" w:hAnsi="Garamond"/>
          <w:i/>
          <w:szCs w:val="24"/>
          <w:lang w:val="sq-AL"/>
        </w:rPr>
        <w:t>ë</w:t>
      </w:r>
      <w:r w:rsidR="000C7107" w:rsidRPr="0053783F">
        <w:rPr>
          <w:rFonts w:ascii="Garamond" w:hAnsi="Garamond"/>
          <w:i/>
          <w:szCs w:val="24"/>
          <w:lang w:val="sq-AL"/>
        </w:rPr>
        <w:t>r Rumanis</w:t>
      </w:r>
      <w:r w:rsidR="00740C89" w:rsidRPr="0053783F">
        <w:rPr>
          <w:rFonts w:ascii="Garamond" w:hAnsi="Garamond"/>
          <w:i/>
          <w:szCs w:val="24"/>
          <w:lang w:val="sq-AL"/>
        </w:rPr>
        <w:t>ë</w:t>
      </w:r>
      <w:r w:rsidR="000C7107" w:rsidRPr="0053783F">
        <w:rPr>
          <w:rFonts w:ascii="Garamond" w:hAnsi="Garamond"/>
          <w:i/>
          <w:szCs w:val="24"/>
          <w:lang w:val="sq-AL"/>
        </w:rPr>
        <w:t xml:space="preserve"> </w:t>
      </w:r>
      <w:r w:rsidR="000C7107" w:rsidRPr="0053783F">
        <w:rPr>
          <w:rFonts w:ascii="Garamond" w:hAnsi="Garamond"/>
          <w:iCs/>
          <w:szCs w:val="24"/>
          <w:lang w:val="sq-AL"/>
        </w:rPr>
        <w:t>(vendim) [Komiteti], nr. 43695/05 dhe 5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 xml:space="preserve"> tjer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 xml:space="preserve">, § 28, 4 </w:t>
      </w:r>
      <w:r w:rsidR="00605F81">
        <w:rPr>
          <w:rFonts w:ascii="Garamond" w:hAnsi="Garamond"/>
          <w:iCs/>
          <w:szCs w:val="24"/>
          <w:lang w:val="sq-AL"/>
        </w:rPr>
        <w:t>s</w:t>
      </w:r>
      <w:r w:rsidR="000C7107" w:rsidRPr="0053783F">
        <w:rPr>
          <w:rFonts w:ascii="Garamond" w:hAnsi="Garamond"/>
          <w:iCs/>
          <w:szCs w:val="24"/>
          <w:lang w:val="sq-AL"/>
        </w:rPr>
        <w:t>htator 208, me referenca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 xml:space="preserve"> tjera; dhe krahaso me </w:t>
      </w:r>
      <w:r w:rsidR="000C7107" w:rsidRPr="0053783F">
        <w:rPr>
          <w:rFonts w:ascii="Garamond" w:hAnsi="Garamond"/>
          <w:i/>
          <w:szCs w:val="24"/>
          <w:lang w:val="sq-AL"/>
        </w:rPr>
        <w:t>Loncke kund</w:t>
      </w:r>
      <w:r w:rsidR="00740C89" w:rsidRPr="0053783F">
        <w:rPr>
          <w:rFonts w:ascii="Garamond" w:hAnsi="Garamond"/>
          <w:i/>
          <w:szCs w:val="24"/>
          <w:lang w:val="sq-AL"/>
        </w:rPr>
        <w:t>ë</w:t>
      </w:r>
      <w:r w:rsidR="000C7107" w:rsidRPr="0053783F">
        <w:rPr>
          <w:rFonts w:ascii="Garamond" w:hAnsi="Garamond"/>
          <w:i/>
          <w:szCs w:val="24"/>
          <w:lang w:val="sq-AL"/>
        </w:rPr>
        <w:t>r Belgjik</w:t>
      </w:r>
      <w:r w:rsidR="00740C89" w:rsidRPr="0053783F">
        <w:rPr>
          <w:rFonts w:ascii="Garamond" w:hAnsi="Garamond"/>
          <w:i/>
          <w:szCs w:val="24"/>
          <w:lang w:val="sq-AL"/>
        </w:rPr>
        <w:t>ë</w:t>
      </w:r>
      <w:r w:rsidR="000C7107" w:rsidRPr="0053783F">
        <w:rPr>
          <w:rFonts w:ascii="Garamond" w:hAnsi="Garamond"/>
          <w:i/>
          <w:szCs w:val="24"/>
          <w:lang w:val="sq-AL"/>
        </w:rPr>
        <w:t xml:space="preserve">s, </w:t>
      </w:r>
      <w:r w:rsidR="000C7107" w:rsidRPr="0053783F">
        <w:rPr>
          <w:rFonts w:ascii="Garamond" w:hAnsi="Garamond"/>
          <w:iCs/>
          <w:szCs w:val="24"/>
          <w:lang w:val="sq-AL"/>
        </w:rPr>
        <w:t xml:space="preserve">nr. 20656/03, § 51, 25 </w:t>
      </w:r>
      <w:r w:rsidR="00605F81">
        <w:rPr>
          <w:rFonts w:ascii="Garamond" w:hAnsi="Garamond"/>
          <w:iCs/>
          <w:szCs w:val="24"/>
          <w:lang w:val="sq-AL"/>
        </w:rPr>
        <w:t>s</w:t>
      </w:r>
      <w:r w:rsidR="000C7107" w:rsidRPr="0053783F">
        <w:rPr>
          <w:rFonts w:ascii="Garamond" w:hAnsi="Garamond"/>
          <w:iCs/>
          <w:szCs w:val="24"/>
          <w:lang w:val="sq-AL"/>
        </w:rPr>
        <w:t>htator 2007, ku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>rkuesi ngriti 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 xml:space="preserve"> argument mbi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 xml:space="preserve"> drejt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>n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>r t’iu drejtuar gjykat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>s). Edhe pse ai iu referua 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 xml:space="preserve"> drejt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>s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>r t’iu drejtuar gjykat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0C7107" w:rsidRPr="0053783F">
        <w:rPr>
          <w:rFonts w:ascii="Garamond" w:hAnsi="Garamond"/>
          <w:iCs/>
          <w:szCs w:val="24"/>
          <w:lang w:val="sq-AL"/>
        </w:rPr>
        <w:t xml:space="preserve">s </w:t>
      </w:r>
      <w:r w:rsidR="0087126D" w:rsidRPr="0053783F">
        <w:rPr>
          <w:rFonts w:ascii="Garamond" w:hAnsi="Garamond"/>
          <w:iCs/>
          <w:szCs w:val="24"/>
          <w:lang w:val="sq-AL"/>
        </w:rPr>
        <w:t>pran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Gjykat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>s Kushtetuese (shih paragrafin 11 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sip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>r), si</w:t>
      </w:r>
      <w:r w:rsidR="00740C89" w:rsidRPr="0053783F">
        <w:rPr>
          <w:rFonts w:ascii="Garamond" w:hAnsi="Garamond"/>
          <w:iCs/>
          <w:szCs w:val="24"/>
          <w:lang w:val="sq-AL"/>
        </w:rPr>
        <w:t>ç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konstatohet nga Gjykata Kushtetuese,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to argumente ishin paraqitur </w:t>
      </w:r>
      <w:r w:rsidR="0087126D" w:rsidRPr="0053783F">
        <w:rPr>
          <w:rFonts w:ascii="Garamond" w:hAnsi="Garamond"/>
          <w:i/>
          <w:szCs w:val="24"/>
          <w:lang w:val="sq-AL"/>
        </w:rPr>
        <w:t>in abstracto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(shih </w:t>
      </w:r>
      <w:r w:rsidR="00287DED" w:rsidRPr="0053783F">
        <w:rPr>
          <w:rFonts w:ascii="Garamond" w:hAnsi="Garamond"/>
          <w:iCs/>
          <w:szCs w:val="24"/>
          <w:lang w:val="sq-AL"/>
        </w:rPr>
        <w:t>paragrafin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12 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sip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>r).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lidhje me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>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aspekt, Gjykata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>rs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rit se detyra e saj nuk 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>sht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rishikoj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ligjin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>rkat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>s dhe praktik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n </w:t>
      </w:r>
      <w:r w:rsidR="0087126D" w:rsidRPr="0053783F">
        <w:rPr>
          <w:rFonts w:ascii="Garamond" w:hAnsi="Garamond"/>
          <w:i/>
          <w:szCs w:val="24"/>
          <w:lang w:val="sq-AL"/>
        </w:rPr>
        <w:t>in abstracto</w:t>
      </w:r>
      <w:r w:rsidR="0087126D" w:rsidRPr="0053783F">
        <w:rPr>
          <w:rFonts w:ascii="Garamond" w:hAnsi="Garamond"/>
          <w:iCs/>
          <w:szCs w:val="24"/>
          <w:lang w:val="sq-AL"/>
        </w:rPr>
        <w:t>, por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>rcaktoj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>se 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>nyra me an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cil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>s ato u zbatuan, apo ndikuan ndaj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>rkuesit, shkaktoi 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shkelje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Konvent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>s ose jo (shih, midis autoriteteve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tjera, </w:t>
      </w:r>
      <w:r w:rsidR="0087126D" w:rsidRPr="0053783F">
        <w:rPr>
          <w:rFonts w:ascii="Garamond" w:hAnsi="Garamond"/>
          <w:i/>
          <w:szCs w:val="24"/>
          <w:lang w:val="sq-AL"/>
        </w:rPr>
        <w:t>Sch</w:t>
      </w:r>
      <w:r w:rsidR="00287DED" w:rsidRPr="0053783F">
        <w:rPr>
          <w:rFonts w:ascii="Garamond" w:hAnsi="Garamond"/>
          <w:i/>
          <w:szCs w:val="24"/>
          <w:lang w:val="sq-AL"/>
        </w:rPr>
        <w:t>w</w:t>
      </w:r>
      <w:r w:rsidR="0087126D" w:rsidRPr="0053783F">
        <w:rPr>
          <w:rFonts w:ascii="Garamond" w:hAnsi="Garamond"/>
          <w:i/>
          <w:szCs w:val="24"/>
          <w:lang w:val="sq-AL"/>
        </w:rPr>
        <w:t>arzenberger kund</w:t>
      </w:r>
      <w:r w:rsidR="00740C89" w:rsidRPr="0053783F">
        <w:rPr>
          <w:rFonts w:ascii="Garamond" w:hAnsi="Garamond"/>
          <w:i/>
          <w:szCs w:val="24"/>
          <w:lang w:val="sq-AL"/>
        </w:rPr>
        <w:t>ë</w:t>
      </w:r>
      <w:r w:rsidR="0087126D" w:rsidRPr="0053783F">
        <w:rPr>
          <w:rFonts w:ascii="Garamond" w:hAnsi="Garamond"/>
          <w:i/>
          <w:szCs w:val="24"/>
          <w:lang w:val="sq-AL"/>
        </w:rPr>
        <w:t>r Gjermanis</w:t>
      </w:r>
      <w:r w:rsidR="00740C89" w:rsidRPr="0053783F">
        <w:rPr>
          <w:rFonts w:ascii="Garamond" w:hAnsi="Garamond"/>
          <w:i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, nr. 75737/01, § 37, 10 </w:t>
      </w:r>
      <w:r w:rsidR="00605F81">
        <w:rPr>
          <w:rFonts w:ascii="Garamond" w:hAnsi="Garamond"/>
          <w:iCs/>
          <w:szCs w:val="24"/>
          <w:lang w:val="sq-AL"/>
        </w:rPr>
        <w:t>g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usht 2006; </w:t>
      </w:r>
      <w:r w:rsidR="0087126D" w:rsidRPr="0053783F">
        <w:rPr>
          <w:rFonts w:ascii="Garamond" w:hAnsi="Garamond"/>
          <w:i/>
          <w:szCs w:val="24"/>
          <w:lang w:val="sq-AL"/>
        </w:rPr>
        <w:t>Roman Zakharov kund</w:t>
      </w:r>
      <w:r w:rsidR="00740C89" w:rsidRPr="0053783F">
        <w:rPr>
          <w:rFonts w:ascii="Garamond" w:hAnsi="Garamond"/>
          <w:i/>
          <w:szCs w:val="24"/>
          <w:lang w:val="sq-AL"/>
        </w:rPr>
        <w:t>ë</w:t>
      </w:r>
      <w:r w:rsidR="0087126D" w:rsidRPr="0053783F">
        <w:rPr>
          <w:rFonts w:ascii="Garamond" w:hAnsi="Garamond"/>
          <w:i/>
          <w:szCs w:val="24"/>
          <w:lang w:val="sq-AL"/>
        </w:rPr>
        <w:t>r Rusis</w:t>
      </w:r>
      <w:r w:rsidR="00740C89" w:rsidRPr="0053783F">
        <w:rPr>
          <w:rFonts w:ascii="Garamond" w:hAnsi="Garamond"/>
          <w:i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[DHM], nr. 47143/06, § 164, GJEDNJ 2015).</w:t>
      </w:r>
    </w:p>
    <w:p w14:paraId="304090DB" w14:textId="4C644075" w:rsidR="003644EA" w:rsidRPr="0053783F" w:rsidRDefault="00DA2AC0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 xml:space="preserve">20. </w:t>
      </w:r>
      <w:r w:rsidR="0087126D" w:rsidRPr="0053783F">
        <w:rPr>
          <w:rFonts w:ascii="Garamond" w:hAnsi="Garamond"/>
          <w:iCs/>
          <w:szCs w:val="24"/>
          <w:lang w:val="sq-AL"/>
        </w:rPr>
        <w:t>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munges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argumenteve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paraqitura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>nyr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>n e duhur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procedurat vendase, Gjykata nuk mund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konstatoj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se kufizimi i 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drejt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>s 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>rkuesit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>r t’iu drejtuar gjykat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>s ka qen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jo proporcional.</w:t>
      </w:r>
    </w:p>
    <w:p w14:paraId="69F20C6B" w14:textId="015DE253" w:rsidR="0087126D" w:rsidRPr="0053783F" w:rsidRDefault="00DA2AC0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 xml:space="preserve">21. </w:t>
      </w:r>
      <w:r w:rsidR="003644EA" w:rsidRPr="0053783F">
        <w:rPr>
          <w:rFonts w:ascii="Garamond" w:hAnsi="Garamond"/>
          <w:iCs/>
          <w:szCs w:val="24"/>
          <w:lang w:val="sq-AL"/>
        </w:rPr>
        <w:t>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fundmi,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 lidhje me argumentin e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87126D" w:rsidRPr="0053783F">
        <w:rPr>
          <w:rFonts w:ascii="Garamond" w:hAnsi="Garamond"/>
          <w:iCs/>
          <w:szCs w:val="24"/>
          <w:lang w:val="sq-AL"/>
        </w:rPr>
        <w:t xml:space="preserve">rkuesit se autoritetet vendase </w:t>
      </w:r>
      <w:r w:rsidR="003644EA" w:rsidRPr="0053783F">
        <w:rPr>
          <w:rFonts w:ascii="Garamond" w:hAnsi="Garamond"/>
          <w:iCs/>
          <w:szCs w:val="24"/>
          <w:lang w:val="sq-AL"/>
        </w:rPr>
        <w:t>gabuan me ligjin duke gjykuar se ai duhej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 xml:space="preserve"> parapaguante shum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>n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>rkat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>se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>rpara se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 xml:space="preserve"> depozitonte ankes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>n ndaj gjob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>s, Gjykata nuk konstaton ndonj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 xml:space="preserve"> arsye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>r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 xml:space="preserve"> gjykuar se konstatimi ishte arbitrar ose qartazi i paarsyesh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 xml:space="preserve">m (shih </w:t>
      </w:r>
      <w:r w:rsidR="003644EA" w:rsidRPr="0053783F">
        <w:rPr>
          <w:rFonts w:ascii="Garamond" w:hAnsi="Garamond"/>
          <w:i/>
          <w:szCs w:val="24"/>
          <w:lang w:val="sq-AL"/>
        </w:rPr>
        <w:t xml:space="preserve">Moreira </w:t>
      </w:r>
      <w:r w:rsidR="00287DED" w:rsidRPr="0053783F">
        <w:rPr>
          <w:rFonts w:ascii="Garamond" w:hAnsi="Garamond"/>
          <w:i/>
          <w:szCs w:val="24"/>
          <w:lang w:val="sq-AL"/>
        </w:rPr>
        <w:t>F</w:t>
      </w:r>
      <w:r w:rsidR="003644EA" w:rsidRPr="0053783F">
        <w:rPr>
          <w:rFonts w:ascii="Garamond" w:hAnsi="Garamond"/>
          <w:i/>
          <w:szCs w:val="24"/>
          <w:lang w:val="sq-AL"/>
        </w:rPr>
        <w:t>erreira kund</w:t>
      </w:r>
      <w:r w:rsidR="00740C89" w:rsidRPr="0053783F">
        <w:rPr>
          <w:rFonts w:ascii="Garamond" w:hAnsi="Garamond"/>
          <w:i/>
          <w:szCs w:val="24"/>
          <w:lang w:val="sq-AL"/>
        </w:rPr>
        <w:t>ë</w:t>
      </w:r>
      <w:r w:rsidR="003644EA" w:rsidRPr="0053783F">
        <w:rPr>
          <w:rFonts w:ascii="Garamond" w:hAnsi="Garamond"/>
          <w:i/>
          <w:szCs w:val="24"/>
          <w:lang w:val="sq-AL"/>
        </w:rPr>
        <w:t>r Portugalis</w:t>
      </w:r>
      <w:r w:rsidR="00740C89" w:rsidRPr="0053783F">
        <w:rPr>
          <w:rFonts w:ascii="Garamond" w:hAnsi="Garamond"/>
          <w:i/>
          <w:szCs w:val="24"/>
          <w:lang w:val="sq-AL"/>
        </w:rPr>
        <w:t>ë</w:t>
      </w:r>
      <w:r w:rsidR="003644EA" w:rsidRPr="0053783F">
        <w:rPr>
          <w:rFonts w:ascii="Garamond" w:hAnsi="Garamond"/>
          <w:i/>
          <w:szCs w:val="24"/>
          <w:lang w:val="sq-AL"/>
        </w:rPr>
        <w:t xml:space="preserve"> (nr.2)</w:t>
      </w:r>
      <w:r w:rsidR="003644EA" w:rsidRPr="0053783F">
        <w:rPr>
          <w:rFonts w:ascii="Garamond" w:hAnsi="Garamond"/>
          <w:iCs/>
          <w:szCs w:val="24"/>
          <w:lang w:val="sq-AL"/>
        </w:rPr>
        <w:t xml:space="preserve"> [DHM], nr. 19867/12, §§ 83 dhe 85, 11 </w:t>
      </w:r>
      <w:r w:rsidR="00605F81">
        <w:rPr>
          <w:rFonts w:ascii="Garamond" w:hAnsi="Garamond"/>
          <w:iCs/>
          <w:szCs w:val="24"/>
          <w:lang w:val="sq-AL"/>
        </w:rPr>
        <w:t>k</w:t>
      </w:r>
      <w:r w:rsidR="003644EA" w:rsidRPr="0053783F">
        <w:rPr>
          <w:rFonts w:ascii="Garamond" w:hAnsi="Garamond"/>
          <w:iCs/>
          <w:szCs w:val="24"/>
          <w:lang w:val="sq-AL"/>
        </w:rPr>
        <w:t>orrik 2017).</w:t>
      </w:r>
    </w:p>
    <w:p w14:paraId="0C716348" w14:textId="2167AB74" w:rsidR="003644EA" w:rsidRPr="0053783F" w:rsidRDefault="00DA2AC0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 xml:space="preserve">22. </w:t>
      </w:r>
      <w:r w:rsidR="003644EA" w:rsidRPr="0053783F">
        <w:rPr>
          <w:rFonts w:ascii="Garamond" w:hAnsi="Garamond"/>
          <w:iCs/>
          <w:szCs w:val="24"/>
          <w:lang w:val="sq-AL"/>
        </w:rPr>
        <w:t>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>r sa 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 xml:space="preserve"> sip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 xml:space="preserve">r, Gjykata vendos se </w:t>
      </w:r>
      <w:r w:rsidR="00740C89" w:rsidRPr="0053783F">
        <w:rPr>
          <w:rFonts w:ascii="Garamond" w:hAnsi="Garamond"/>
          <w:iCs/>
          <w:szCs w:val="24"/>
          <w:lang w:val="sq-AL"/>
        </w:rPr>
        <w:t>çë</w:t>
      </w:r>
      <w:r w:rsidR="003644EA" w:rsidRPr="0053783F">
        <w:rPr>
          <w:rFonts w:ascii="Garamond" w:hAnsi="Garamond"/>
          <w:iCs/>
          <w:szCs w:val="24"/>
          <w:lang w:val="sq-AL"/>
        </w:rPr>
        <w:t>shtja nuk paraqet ndonj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 xml:space="preserve"> fakt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 xml:space="preserve"> shkeljes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 xml:space="preserve"> 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 xml:space="preserve"> drejt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>s 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 xml:space="preserve">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>rkuesit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>r t’iu drejtuar gjykat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 xml:space="preserve">s sipas </w:t>
      </w:r>
      <w:r w:rsidR="00605F81">
        <w:rPr>
          <w:rFonts w:ascii="Garamond" w:hAnsi="Garamond"/>
          <w:iCs/>
          <w:szCs w:val="24"/>
          <w:lang w:val="sq-AL"/>
        </w:rPr>
        <w:t>n</w:t>
      </w:r>
      <w:r w:rsidR="003644EA" w:rsidRPr="0053783F">
        <w:rPr>
          <w:rFonts w:ascii="Garamond" w:hAnsi="Garamond"/>
          <w:iCs/>
          <w:szCs w:val="24"/>
          <w:lang w:val="sq-AL"/>
        </w:rPr>
        <w:t>enit 6 § 1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 xml:space="preserve"> Konvent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>s.</w:t>
      </w:r>
    </w:p>
    <w:p w14:paraId="05A9FA77" w14:textId="462BE39E" w:rsidR="003644EA" w:rsidRPr="0053783F" w:rsidRDefault="00DA2AC0" w:rsidP="00DA2AC0">
      <w:pPr>
        <w:pStyle w:val="ECHRDecisionBody"/>
        <w:ind w:firstLine="284"/>
        <w:jc w:val="both"/>
        <w:rPr>
          <w:rFonts w:ascii="Garamond" w:hAnsi="Garamond"/>
          <w:b/>
          <w:bCs/>
          <w:iCs/>
          <w:szCs w:val="24"/>
          <w:lang w:val="sq-AL"/>
        </w:rPr>
      </w:pPr>
      <w:r w:rsidRPr="0053783F">
        <w:rPr>
          <w:rFonts w:ascii="Garamond" w:hAnsi="Garamond"/>
          <w:b/>
          <w:bCs/>
          <w:iCs/>
          <w:szCs w:val="24"/>
          <w:lang w:val="sq-AL"/>
        </w:rPr>
        <w:t xml:space="preserve">B. </w:t>
      </w:r>
      <w:r w:rsidR="003644EA" w:rsidRPr="0053783F">
        <w:rPr>
          <w:rFonts w:ascii="Garamond" w:hAnsi="Garamond"/>
          <w:b/>
          <w:bCs/>
          <w:iCs/>
          <w:szCs w:val="24"/>
          <w:lang w:val="sq-AL"/>
        </w:rPr>
        <w:t xml:space="preserve">Neni 1 i Protokollit </w:t>
      </w:r>
      <w:r w:rsidR="00605F81">
        <w:rPr>
          <w:rFonts w:ascii="Garamond" w:hAnsi="Garamond"/>
          <w:b/>
          <w:bCs/>
          <w:iCs/>
          <w:szCs w:val="24"/>
          <w:lang w:val="sq-AL"/>
        </w:rPr>
        <w:t>n</w:t>
      </w:r>
      <w:r w:rsidR="003644EA" w:rsidRPr="0053783F">
        <w:rPr>
          <w:rFonts w:ascii="Garamond" w:hAnsi="Garamond"/>
          <w:b/>
          <w:bCs/>
          <w:iCs/>
          <w:szCs w:val="24"/>
          <w:lang w:val="sq-AL"/>
        </w:rPr>
        <w:t>r. 1 t</w:t>
      </w:r>
      <w:r w:rsidR="00740C89" w:rsidRPr="0053783F">
        <w:rPr>
          <w:rFonts w:ascii="Garamond" w:hAnsi="Garamond"/>
          <w:b/>
          <w:bCs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b/>
          <w:bCs/>
          <w:iCs/>
          <w:szCs w:val="24"/>
          <w:lang w:val="sq-AL"/>
        </w:rPr>
        <w:t xml:space="preserve"> Konvent</w:t>
      </w:r>
      <w:r w:rsidR="00740C89" w:rsidRPr="0053783F">
        <w:rPr>
          <w:rFonts w:ascii="Garamond" w:hAnsi="Garamond"/>
          <w:b/>
          <w:bCs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b/>
          <w:bCs/>
          <w:iCs/>
          <w:szCs w:val="24"/>
          <w:lang w:val="sq-AL"/>
        </w:rPr>
        <w:t>s</w:t>
      </w:r>
    </w:p>
    <w:p w14:paraId="048B6547" w14:textId="5785663C" w:rsidR="003644EA" w:rsidRPr="0053783F" w:rsidRDefault="00DA2AC0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 xml:space="preserve">23. </w:t>
      </w:r>
      <w:r w:rsidR="003644EA" w:rsidRPr="0053783F">
        <w:rPr>
          <w:rFonts w:ascii="Garamond" w:hAnsi="Garamond"/>
          <w:iCs/>
          <w:szCs w:val="24"/>
          <w:lang w:val="sq-AL"/>
        </w:rPr>
        <w:t>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 xml:space="preserve"> rastin kur nj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 xml:space="preserve">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>rkues nuk respekton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>rkesat vendase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 xml:space="preserve"> pranueshm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>ris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>,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>rkesa e tij ose e saj pran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 xml:space="preserve"> Gjykat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>s,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 xml:space="preserve"> parim, duhet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 xml:space="preserve"> deklarohet e papranueshme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>r mosshterim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 xml:space="preserve"> mjeteve vendase (shih </w:t>
      </w:r>
      <w:r w:rsidR="003644EA" w:rsidRPr="0053783F">
        <w:rPr>
          <w:rFonts w:ascii="Garamond" w:hAnsi="Garamond"/>
          <w:i/>
          <w:szCs w:val="24"/>
          <w:lang w:val="sq-AL"/>
        </w:rPr>
        <w:t>Vučković dhe t</w:t>
      </w:r>
      <w:r w:rsidR="00740C89" w:rsidRPr="0053783F">
        <w:rPr>
          <w:rFonts w:ascii="Garamond" w:hAnsi="Garamond"/>
          <w:i/>
          <w:szCs w:val="24"/>
          <w:lang w:val="sq-AL"/>
        </w:rPr>
        <w:t>ë</w:t>
      </w:r>
      <w:r w:rsidR="003644EA" w:rsidRPr="0053783F">
        <w:rPr>
          <w:rFonts w:ascii="Garamond" w:hAnsi="Garamond"/>
          <w:i/>
          <w:szCs w:val="24"/>
          <w:lang w:val="sq-AL"/>
        </w:rPr>
        <w:t xml:space="preserve"> Tjer</w:t>
      </w:r>
      <w:r w:rsidR="00740C89" w:rsidRPr="0053783F">
        <w:rPr>
          <w:rFonts w:ascii="Garamond" w:hAnsi="Garamond"/>
          <w:i/>
          <w:szCs w:val="24"/>
          <w:lang w:val="sq-AL"/>
        </w:rPr>
        <w:t>ë</w:t>
      </w:r>
      <w:r w:rsidR="003644EA" w:rsidRPr="0053783F">
        <w:rPr>
          <w:rFonts w:ascii="Garamond" w:hAnsi="Garamond"/>
          <w:i/>
          <w:szCs w:val="24"/>
          <w:lang w:val="sq-AL"/>
        </w:rPr>
        <w:t>t kund</w:t>
      </w:r>
      <w:r w:rsidR="00740C89" w:rsidRPr="0053783F">
        <w:rPr>
          <w:rFonts w:ascii="Garamond" w:hAnsi="Garamond"/>
          <w:i/>
          <w:szCs w:val="24"/>
          <w:lang w:val="sq-AL"/>
        </w:rPr>
        <w:t>ë</w:t>
      </w:r>
      <w:r w:rsidR="003644EA" w:rsidRPr="0053783F">
        <w:rPr>
          <w:rFonts w:ascii="Garamond" w:hAnsi="Garamond"/>
          <w:i/>
          <w:szCs w:val="24"/>
          <w:lang w:val="sq-AL"/>
        </w:rPr>
        <w:t>r Serbis</w:t>
      </w:r>
      <w:r w:rsidR="00740C89" w:rsidRPr="0053783F">
        <w:rPr>
          <w:rFonts w:ascii="Garamond" w:hAnsi="Garamond"/>
          <w:i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 xml:space="preserve"> (kund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>rshtimi paraprak) [DHM], nr. 17153/11 dhe 29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 xml:space="preserve"> tjer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 xml:space="preserve">, § 72, 25 </w:t>
      </w:r>
      <w:r w:rsidR="00605F81">
        <w:rPr>
          <w:rFonts w:ascii="Garamond" w:hAnsi="Garamond"/>
          <w:iCs/>
          <w:szCs w:val="24"/>
          <w:lang w:val="sq-AL"/>
        </w:rPr>
        <w:t>m</w:t>
      </w:r>
      <w:r w:rsidR="003644EA" w:rsidRPr="0053783F">
        <w:rPr>
          <w:rFonts w:ascii="Garamond" w:hAnsi="Garamond"/>
          <w:iCs/>
          <w:szCs w:val="24"/>
          <w:lang w:val="sq-AL"/>
        </w:rPr>
        <w:t>ars 2014).</w:t>
      </w:r>
    </w:p>
    <w:p w14:paraId="41738ECE" w14:textId="461F06D6" w:rsidR="003644EA" w:rsidRPr="0053783F" w:rsidRDefault="00DA2AC0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 xml:space="preserve">24. </w:t>
      </w:r>
      <w:r w:rsidR="003644EA" w:rsidRPr="0053783F">
        <w:rPr>
          <w:rFonts w:ascii="Garamond" w:hAnsi="Garamond"/>
          <w:iCs/>
          <w:szCs w:val="24"/>
          <w:lang w:val="sq-AL"/>
        </w:rPr>
        <w:t>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 xml:space="preserve"> </w:t>
      </w:r>
      <w:r w:rsidR="00740C89" w:rsidRPr="0053783F">
        <w:rPr>
          <w:rFonts w:ascii="Garamond" w:hAnsi="Garamond"/>
          <w:iCs/>
          <w:szCs w:val="24"/>
          <w:lang w:val="sq-AL"/>
        </w:rPr>
        <w:t>çë</w:t>
      </w:r>
      <w:r w:rsidR="003644EA" w:rsidRPr="0053783F">
        <w:rPr>
          <w:rFonts w:ascii="Garamond" w:hAnsi="Garamond"/>
          <w:iCs/>
          <w:szCs w:val="24"/>
          <w:lang w:val="sq-AL"/>
        </w:rPr>
        <w:t>shtjen konkrete, pretendimi vendas i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>rkuesit u shpall i papranuesh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>m, pasi ai nuk kishte shteruar mjetet administrative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3644EA" w:rsidRPr="0053783F">
        <w:rPr>
          <w:rFonts w:ascii="Garamond" w:hAnsi="Garamond"/>
          <w:iCs/>
          <w:szCs w:val="24"/>
          <w:lang w:val="sq-AL"/>
        </w:rPr>
        <w:t xml:space="preserve">rpara se </w:t>
      </w:r>
      <w:r w:rsidR="009A3CA1" w:rsidRPr="0053783F">
        <w:rPr>
          <w:rFonts w:ascii="Garamond" w:hAnsi="Garamond"/>
          <w:iCs/>
          <w:szCs w:val="24"/>
          <w:lang w:val="sq-AL"/>
        </w:rPr>
        <w:t>t’i drejtohej gjykat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A3CA1" w:rsidRPr="0053783F">
        <w:rPr>
          <w:rFonts w:ascii="Garamond" w:hAnsi="Garamond"/>
          <w:iCs/>
          <w:szCs w:val="24"/>
          <w:lang w:val="sq-AL"/>
        </w:rPr>
        <w:t>s (shih paragrafin 22 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A3CA1" w:rsidRPr="0053783F">
        <w:rPr>
          <w:rFonts w:ascii="Garamond" w:hAnsi="Garamond"/>
          <w:iCs/>
          <w:szCs w:val="24"/>
          <w:lang w:val="sq-AL"/>
        </w:rPr>
        <w:t xml:space="preserve"> sip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A3CA1" w:rsidRPr="0053783F">
        <w:rPr>
          <w:rFonts w:ascii="Garamond" w:hAnsi="Garamond"/>
          <w:iCs/>
          <w:szCs w:val="24"/>
          <w:lang w:val="sq-AL"/>
        </w:rPr>
        <w:t>r). Rrjedhimisht, ankesa e b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A3CA1" w:rsidRPr="0053783F">
        <w:rPr>
          <w:rFonts w:ascii="Garamond" w:hAnsi="Garamond"/>
          <w:iCs/>
          <w:szCs w:val="24"/>
          <w:lang w:val="sq-AL"/>
        </w:rPr>
        <w:t>r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A3CA1" w:rsidRPr="0053783F">
        <w:rPr>
          <w:rFonts w:ascii="Garamond" w:hAnsi="Garamond"/>
          <w:iCs/>
          <w:szCs w:val="24"/>
          <w:lang w:val="sq-AL"/>
        </w:rPr>
        <w:t xml:space="preserve">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A3CA1" w:rsidRPr="0053783F">
        <w:rPr>
          <w:rFonts w:ascii="Garamond" w:hAnsi="Garamond"/>
          <w:iCs/>
          <w:szCs w:val="24"/>
          <w:lang w:val="sq-AL"/>
        </w:rPr>
        <w:t xml:space="preserve"> mb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A3CA1" w:rsidRPr="0053783F">
        <w:rPr>
          <w:rFonts w:ascii="Garamond" w:hAnsi="Garamond"/>
          <w:iCs/>
          <w:szCs w:val="24"/>
          <w:lang w:val="sq-AL"/>
        </w:rPr>
        <w:t>shtetje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A3CA1" w:rsidRPr="0053783F">
        <w:rPr>
          <w:rFonts w:ascii="Garamond" w:hAnsi="Garamond"/>
          <w:iCs/>
          <w:szCs w:val="24"/>
          <w:lang w:val="sq-AL"/>
        </w:rPr>
        <w:t xml:space="preserve"> </w:t>
      </w:r>
      <w:r w:rsidR="00605F81">
        <w:rPr>
          <w:rFonts w:ascii="Garamond" w:hAnsi="Garamond"/>
          <w:iCs/>
          <w:szCs w:val="24"/>
          <w:lang w:val="sq-AL"/>
        </w:rPr>
        <w:t>n</w:t>
      </w:r>
      <w:r w:rsidR="009A3CA1" w:rsidRPr="0053783F">
        <w:rPr>
          <w:rFonts w:ascii="Garamond" w:hAnsi="Garamond"/>
          <w:iCs/>
          <w:szCs w:val="24"/>
          <w:lang w:val="sq-AL"/>
        </w:rPr>
        <w:t>enit 1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A3CA1" w:rsidRPr="0053783F">
        <w:rPr>
          <w:rFonts w:ascii="Garamond" w:hAnsi="Garamond"/>
          <w:iCs/>
          <w:szCs w:val="24"/>
          <w:lang w:val="sq-AL"/>
        </w:rPr>
        <w:t xml:space="preserve"> Protokollit </w:t>
      </w:r>
      <w:r w:rsidR="00605F81">
        <w:rPr>
          <w:rFonts w:ascii="Garamond" w:hAnsi="Garamond"/>
          <w:iCs/>
          <w:szCs w:val="24"/>
          <w:lang w:val="sq-AL"/>
        </w:rPr>
        <w:t>n</w:t>
      </w:r>
      <w:r w:rsidR="009A3CA1" w:rsidRPr="0053783F">
        <w:rPr>
          <w:rFonts w:ascii="Garamond" w:hAnsi="Garamond"/>
          <w:iCs/>
          <w:szCs w:val="24"/>
          <w:lang w:val="sq-AL"/>
        </w:rPr>
        <w:t>r. 1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A3CA1" w:rsidRPr="0053783F">
        <w:rPr>
          <w:rFonts w:ascii="Garamond" w:hAnsi="Garamond"/>
          <w:iCs/>
          <w:szCs w:val="24"/>
          <w:lang w:val="sq-AL"/>
        </w:rPr>
        <w:t xml:space="preserve"> Konvent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A3CA1" w:rsidRPr="0053783F">
        <w:rPr>
          <w:rFonts w:ascii="Garamond" w:hAnsi="Garamond"/>
          <w:iCs/>
          <w:szCs w:val="24"/>
          <w:lang w:val="sq-AL"/>
        </w:rPr>
        <w:t>s pran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A3CA1" w:rsidRPr="0053783F">
        <w:rPr>
          <w:rFonts w:ascii="Garamond" w:hAnsi="Garamond"/>
          <w:iCs/>
          <w:szCs w:val="24"/>
          <w:lang w:val="sq-AL"/>
        </w:rPr>
        <w:t xml:space="preserve"> Gjykat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A3CA1" w:rsidRPr="0053783F">
        <w:rPr>
          <w:rFonts w:ascii="Garamond" w:hAnsi="Garamond"/>
          <w:iCs/>
          <w:szCs w:val="24"/>
          <w:lang w:val="sq-AL"/>
        </w:rPr>
        <w:t xml:space="preserve">s 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A3CA1" w:rsidRPr="0053783F">
        <w:rPr>
          <w:rFonts w:ascii="Garamond" w:hAnsi="Garamond"/>
          <w:iCs/>
          <w:szCs w:val="24"/>
          <w:lang w:val="sq-AL"/>
        </w:rPr>
        <w:t>sht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A3CA1" w:rsidRPr="0053783F">
        <w:rPr>
          <w:rFonts w:ascii="Garamond" w:hAnsi="Garamond"/>
          <w:iCs/>
          <w:szCs w:val="24"/>
          <w:lang w:val="sq-AL"/>
        </w:rPr>
        <w:t xml:space="preserve"> e papranueshme 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A3CA1" w:rsidRPr="0053783F">
        <w:rPr>
          <w:rFonts w:ascii="Garamond" w:hAnsi="Garamond"/>
          <w:iCs/>
          <w:szCs w:val="24"/>
          <w:lang w:val="sq-AL"/>
        </w:rPr>
        <w:t>r mosshterim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A3CA1" w:rsidRPr="0053783F">
        <w:rPr>
          <w:rFonts w:ascii="Garamond" w:hAnsi="Garamond"/>
          <w:iCs/>
          <w:szCs w:val="24"/>
          <w:lang w:val="sq-AL"/>
        </w:rPr>
        <w:t xml:space="preserve"> mjeteve vendase sipas </w:t>
      </w:r>
      <w:r w:rsidR="00605F81">
        <w:rPr>
          <w:rFonts w:ascii="Garamond" w:hAnsi="Garamond"/>
          <w:iCs/>
          <w:szCs w:val="24"/>
          <w:lang w:val="sq-AL"/>
        </w:rPr>
        <w:t>n</w:t>
      </w:r>
      <w:r w:rsidR="009A3CA1" w:rsidRPr="0053783F">
        <w:rPr>
          <w:rFonts w:ascii="Garamond" w:hAnsi="Garamond"/>
          <w:iCs/>
          <w:szCs w:val="24"/>
          <w:lang w:val="sq-AL"/>
        </w:rPr>
        <w:t>enit 35 §§ 1 dhe 4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A3CA1" w:rsidRPr="0053783F">
        <w:rPr>
          <w:rFonts w:ascii="Garamond" w:hAnsi="Garamond"/>
          <w:iCs/>
          <w:szCs w:val="24"/>
          <w:lang w:val="sq-AL"/>
        </w:rPr>
        <w:t xml:space="preserve"> Konvent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="009A3CA1" w:rsidRPr="0053783F">
        <w:rPr>
          <w:rFonts w:ascii="Garamond" w:hAnsi="Garamond"/>
          <w:iCs/>
          <w:szCs w:val="24"/>
          <w:lang w:val="sq-AL"/>
        </w:rPr>
        <w:t>s.</w:t>
      </w:r>
    </w:p>
    <w:p w14:paraId="48C9B57F" w14:textId="2F5613AA" w:rsidR="009A3CA1" w:rsidRPr="0053783F" w:rsidRDefault="009A3CA1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>P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>r 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>to arsye, n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 xml:space="preserve"> m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>nyr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 xml:space="preserve"> unanime, Gjykata</w:t>
      </w:r>
    </w:p>
    <w:p w14:paraId="62934D50" w14:textId="143D2505" w:rsidR="004643B2" w:rsidRPr="0053783F" w:rsidRDefault="009A3CA1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/>
          <w:szCs w:val="24"/>
          <w:lang w:val="sq-AL"/>
        </w:rPr>
        <w:lastRenderedPageBreak/>
        <w:t xml:space="preserve">E deklaron </w:t>
      </w:r>
      <w:r w:rsidRPr="0053783F">
        <w:rPr>
          <w:rFonts w:ascii="Garamond" w:hAnsi="Garamond"/>
          <w:iCs/>
          <w:szCs w:val="24"/>
          <w:lang w:val="sq-AL"/>
        </w:rPr>
        <w:t>k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>rkes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>n t</w:t>
      </w:r>
      <w:r w:rsidR="00740C89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 xml:space="preserve"> papranueshme.</w:t>
      </w:r>
    </w:p>
    <w:p w14:paraId="3C0F1BDE" w14:textId="5367AE31" w:rsidR="004643B2" w:rsidRPr="0053783F" w:rsidRDefault="004643B2" w:rsidP="00DA2AC0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3783F">
        <w:rPr>
          <w:rFonts w:ascii="Garamond" w:hAnsi="Garamond"/>
          <w:iCs/>
          <w:szCs w:val="24"/>
          <w:lang w:val="sq-AL"/>
        </w:rPr>
        <w:t>Hartuar n</w:t>
      </w:r>
      <w:r w:rsidR="00C70110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 xml:space="preserve"> anglisht dhe njoftuar me shkrim m</w:t>
      </w:r>
      <w:r w:rsidR="00C70110" w:rsidRPr="0053783F">
        <w:rPr>
          <w:rFonts w:ascii="Garamond" w:hAnsi="Garamond"/>
          <w:iCs/>
          <w:szCs w:val="24"/>
          <w:lang w:val="sq-AL"/>
        </w:rPr>
        <w:t>ë</w:t>
      </w:r>
      <w:r w:rsidRPr="0053783F">
        <w:rPr>
          <w:rFonts w:ascii="Garamond" w:hAnsi="Garamond"/>
          <w:iCs/>
          <w:szCs w:val="24"/>
          <w:lang w:val="sq-AL"/>
        </w:rPr>
        <w:t xml:space="preserve"> </w:t>
      </w:r>
      <w:r w:rsidR="00E65AAB" w:rsidRPr="0053783F">
        <w:rPr>
          <w:rFonts w:ascii="Garamond" w:hAnsi="Garamond"/>
          <w:iCs/>
          <w:szCs w:val="24"/>
          <w:lang w:val="sq-AL"/>
        </w:rPr>
        <w:t xml:space="preserve">5 </w:t>
      </w:r>
      <w:r w:rsidR="00605F81">
        <w:rPr>
          <w:rFonts w:ascii="Garamond" w:hAnsi="Garamond"/>
          <w:iCs/>
          <w:szCs w:val="24"/>
          <w:lang w:val="sq-AL"/>
        </w:rPr>
        <w:t>t</w:t>
      </w:r>
      <w:r w:rsidR="00E65AAB" w:rsidRPr="0053783F">
        <w:rPr>
          <w:rFonts w:ascii="Garamond" w:hAnsi="Garamond"/>
          <w:iCs/>
          <w:szCs w:val="24"/>
          <w:lang w:val="sq-AL"/>
        </w:rPr>
        <w:t>etor</w:t>
      </w:r>
      <w:r w:rsidRPr="0053783F">
        <w:rPr>
          <w:rFonts w:ascii="Garamond" w:hAnsi="Garamond"/>
          <w:iCs/>
          <w:szCs w:val="24"/>
          <w:lang w:val="sq-AL"/>
        </w:rPr>
        <w:t xml:space="preserve"> 2023.</w:t>
      </w:r>
    </w:p>
    <w:p w14:paraId="079C7626" w14:textId="1E8993F0" w:rsidR="004643B2" w:rsidRPr="0053783F" w:rsidRDefault="004643B2" w:rsidP="00DA2AC0">
      <w:pPr>
        <w:pStyle w:val="ECHRDecisionBody"/>
        <w:ind w:firstLine="284"/>
        <w:rPr>
          <w:rFonts w:ascii="Garamond" w:hAnsi="Garamond"/>
          <w:iCs/>
          <w:szCs w:val="24"/>
          <w:lang w:val="sq-AL"/>
        </w:rPr>
      </w:pPr>
    </w:p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3262"/>
      </w:tblGrid>
      <w:tr w:rsidR="00DA2AC0" w:rsidRPr="0053783F" w14:paraId="4A6188BC" w14:textId="77777777" w:rsidTr="00DA2AC0">
        <w:tc>
          <w:tcPr>
            <w:tcW w:w="3684" w:type="dxa"/>
          </w:tcPr>
          <w:p w14:paraId="664EA4D1" w14:textId="106ED397" w:rsidR="00DA2AC0" w:rsidRPr="0053783F" w:rsidRDefault="00DA2AC0" w:rsidP="00DA2AC0">
            <w:pPr>
              <w:pStyle w:val="ECHRDecisionBody"/>
              <w:jc w:val="center"/>
              <w:rPr>
                <w:rFonts w:ascii="Garamond" w:hAnsi="Garamond"/>
                <w:b/>
                <w:iCs/>
                <w:szCs w:val="24"/>
                <w:lang w:val="sq-AL"/>
              </w:rPr>
            </w:pPr>
            <w:r w:rsidRPr="0053783F">
              <w:rPr>
                <w:rFonts w:ascii="Garamond" w:hAnsi="Garamond"/>
                <w:b/>
                <w:szCs w:val="24"/>
                <w:lang w:val="sq-AL"/>
              </w:rPr>
              <w:t>Olga Chernishova</w:t>
            </w:r>
          </w:p>
        </w:tc>
        <w:tc>
          <w:tcPr>
            <w:tcW w:w="3262" w:type="dxa"/>
          </w:tcPr>
          <w:p w14:paraId="7215D38C" w14:textId="74FD3A4D" w:rsidR="00DA2AC0" w:rsidRPr="0053783F" w:rsidRDefault="00DA2AC0" w:rsidP="00DA2AC0">
            <w:pPr>
              <w:pStyle w:val="ECHRDecisionBody"/>
              <w:jc w:val="center"/>
              <w:rPr>
                <w:rFonts w:ascii="Garamond" w:hAnsi="Garamond"/>
                <w:b/>
                <w:iCs/>
                <w:szCs w:val="24"/>
                <w:lang w:val="sq-AL"/>
              </w:rPr>
            </w:pPr>
            <w:r w:rsidRPr="0053783F">
              <w:rPr>
                <w:rFonts w:ascii="Garamond" w:hAnsi="Garamond"/>
                <w:b/>
                <w:szCs w:val="24"/>
                <w:lang w:val="sq-AL"/>
              </w:rPr>
              <w:t>Georgios A. Serghides</w:t>
            </w:r>
          </w:p>
        </w:tc>
      </w:tr>
      <w:tr w:rsidR="00DA2AC0" w:rsidRPr="0053783F" w14:paraId="77666B44" w14:textId="77777777" w:rsidTr="00DA2AC0">
        <w:tc>
          <w:tcPr>
            <w:tcW w:w="3684" w:type="dxa"/>
          </w:tcPr>
          <w:p w14:paraId="1AC77D46" w14:textId="733CD5D1" w:rsidR="00DA2AC0" w:rsidRPr="0053783F" w:rsidRDefault="00DA2AC0" w:rsidP="00DA2AC0">
            <w:pPr>
              <w:pStyle w:val="ECHRDecisionBody"/>
              <w:jc w:val="center"/>
              <w:rPr>
                <w:rFonts w:ascii="Garamond" w:hAnsi="Garamond"/>
                <w:iCs/>
                <w:szCs w:val="24"/>
                <w:lang w:val="sq-AL"/>
              </w:rPr>
            </w:pPr>
            <w:r w:rsidRPr="0053783F">
              <w:rPr>
                <w:rFonts w:ascii="Garamond" w:hAnsi="Garamond"/>
                <w:szCs w:val="24"/>
                <w:lang w:val="sq-AL"/>
              </w:rPr>
              <w:t>ZËVENDËSSEKRETARE</w:t>
            </w:r>
          </w:p>
        </w:tc>
        <w:tc>
          <w:tcPr>
            <w:tcW w:w="3262" w:type="dxa"/>
          </w:tcPr>
          <w:p w14:paraId="721DAC43" w14:textId="5953D916" w:rsidR="00DA2AC0" w:rsidRPr="0053783F" w:rsidRDefault="00DA2AC0" w:rsidP="00DA2AC0">
            <w:pPr>
              <w:pStyle w:val="ECHRDecisionBody"/>
              <w:jc w:val="center"/>
              <w:rPr>
                <w:rFonts w:ascii="Garamond" w:hAnsi="Garamond"/>
                <w:iCs/>
                <w:szCs w:val="24"/>
                <w:lang w:val="sq-AL"/>
              </w:rPr>
            </w:pPr>
            <w:r w:rsidRPr="0053783F">
              <w:rPr>
                <w:rFonts w:ascii="Garamond" w:hAnsi="Garamond"/>
                <w:szCs w:val="24"/>
                <w:lang w:val="sq-AL"/>
              </w:rPr>
              <w:t>KRYETAR</w:t>
            </w:r>
          </w:p>
        </w:tc>
      </w:tr>
    </w:tbl>
    <w:p w14:paraId="023EB680" w14:textId="77777777" w:rsidR="004643B2" w:rsidRPr="0053783F" w:rsidRDefault="004643B2" w:rsidP="00DA2AC0">
      <w:pPr>
        <w:pStyle w:val="ECHRDecisionBody"/>
        <w:ind w:firstLine="284"/>
        <w:jc w:val="center"/>
        <w:rPr>
          <w:rFonts w:ascii="Garamond" w:hAnsi="Garamond"/>
          <w:iCs/>
          <w:szCs w:val="24"/>
          <w:lang w:val="sq-AL"/>
        </w:rPr>
      </w:pPr>
    </w:p>
    <w:sectPr w:rsidR="004643B2" w:rsidRPr="0053783F" w:rsidSect="00287DED">
      <w:headerReference w:type="default" r:id="rId11"/>
      <w:footerReference w:type="default" r:id="rId12"/>
      <w:pgSz w:w="11907" w:h="16840" w:code="9"/>
      <w:pgMar w:top="574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D41F5" w14:textId="77777777" w:rsidR="00C651BC" w:rsidRDefault="00C651BC">
      <w:pPr>
        <w:spacing w:after="0" w:line="240" w:lineRule="auto"/>
      </w:pPr>
      <w:r>
        <w:separator/>
      </w:r>
    </w:p>
  </w:endnote>
  <w:endnote w:type="continuationSeparator" w:id="0">
    <w:p w14:paraId="44A948E2" w14:textId="77777777" w:rsidR="00C651BC" w:rsidRDefault="00C651BC">
      <w:pPr>
        <w:spacing w:after="0" w:line="240" w:lineRule="auto"/>
      </w:pPr>
      <w:r>
        <w:continuationSeparator/>
      </w:r>
    </w:p>
  </w:endnote>
  <w:endnote w:type="continuationNotice" w:id="1">
    <w:p w14:paraId="0417813A" w14:textId="77777777" w:rsidR="00C651BC" w:rsidRDefault="00C651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C9323" w14:textId="77777777" w:rsidR="0053783F" w:rsidRDefault="0053783F" w:rsidP="00EA07AA">
    <w:pPr>
      <w:pStyle w:val="Footer"/>
    </w:pPr>
  </w:p>
  <w:p w14:paraId="3AC58A32" w14:textId="77777777" w:rsidR="0053783F" w:rsidRPr="00CC26CB" w:rsidRDefault="0053783F" w:rsidP="00EA0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398D0" w14:textId="77777777" w:rsidR="00C651BC" w:rsidRDefault="00C651BC">
      <w:pPr>
        <w:spacing w:after="0" w:line="240" w:lineRule="auto"/>
      </w:pPr>
      <w:r>
        <w:separator/>
      </w:r>
    </w:p>
  </w:footnote>
  <w:footnote w:type="continuationSeparator" w:id="0">
    <w:p w14:paraId="0A6C0CDE" w14:textId="77777777" w:rsidR="00C651BC" w:rsidRDefault="00C651BC">
      <w:pPr>
        <w:spacing w:after="0" w:line="240" w:lineRule="auto"/>
      </w:pPr>
      <w:r>
        <w:continuationSeparator/>
      </w:r>
    </w:p>
  </w:footnote>
  <w:footnote w:type="continuationNotice" w:id="1">
    <w:p w14:paraId="339CB470" w14:textId="77777777" w:rsidR="00C651BC" w:rsidRDefault="00C651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B908D" w14:textId="77777777" w:rsidR="0053783F" w:rsidRDefault="0053783F">
    <w:pPr>
      <w:pStyle w:val="Header"/>
    </w:pPr>
  </w:p>
  <w:p w14:paraId="447541FF" w14:textId="77777777" w:rsidR="0053783F" w:rsidRDefault="005378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C641157"/>
    <w:multiLevelType w:val="multilevel"/>
    <w:tmpl w:val="9B34AC6C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0" w15:restartNumberingAfterBreak="0">
    <w:nsid w:val="0FF55D7A"/>
    <w:multiLevelType w:val="hybridMultilevel"/>
    <w:tmpl w:val="8B0CDBA4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F9157E"/>
    <w:multiLevelType w:val="hybridMultilevel"/>
    <w:tmpl w:val="C96857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16108"/>
    <w:multiLevelType w:val="hybridMultilevel"/>
    <w:tmpl w:val="70E6C9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958F3"/>
    <w:multiLevelType w:val="hybridMultilevel"/>
    <w:tmpl w:val="70FC068A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281E7A"/>
    <w:multiLevelType w:val="hybridMultilevel"/>
    <w:tmpl w:val="2F845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E2E3E"/>
    <w:multiLevelType w:val="hybridMultilevel"/>
    <w:tmpl w:val="30FA5626"/>
    <w:lvl w:ilvl="0" w:tplc="3EFE14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511145FA"/>
    <w:multiLevelType w:val="hybridMultilevel"/>
    <w:tmpl w:val="DDF0EA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7215C"/>
    <w:multiLevelType w:val="hybridMultilevel"/>
    <w:tmpl w:val="0A0EF6FE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3776324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2776396">
    <w:abstractNumId w:val="6"/>
  </w:num>
  <w:num w:numId="3" w16cid:durableId="2067727907">
    <w:abstractNumId w:val="21"/>
  </w:num>
  <w:num w:numId="4" w16cid:durableId="773863379">
    <w:abstractNumId w:val="16"/>
  </w:num>
  <w:num w:numId="5" w16cid:durableId="1819418046">
    <w:abstractNumId w:val="12"/>
  </w:num>
  <w:num w:numId="6" w16cid:durableId="1792818960">
    <w:abstractNumId w:val="11"/>
  </w:num>
  <w:num w:numId="7" w16cid:durableId="1935430745">
    <w:abstractNumId w:val="7"/>
  </w:num>
  <w:num w:numId="8" w16cid:durableId="114720579">
    <w:abstractNumId w:val="5"/>
  </w:num>
  <w:num w:numId="9" w16cid:durableId="2066172174">
    <w:abstractNumId w:val="4"/>
  </w:num>
  <w:num w:numId="10" w16cid:durableId="1446776069">
    <w:abstractNumId w:val="8"/>
  </w:num>
  <w:num w:numId="11" w16cid:durableId="226647285">
    <w:abstractNumId w:val="3"/>
  </w:num>
  <w:num w:numId="12" w16cid:durableId="551238531">
    <w:abstractNumId w:val="2"/>
  </w:num>
  <w:num w:numId="13" w16cid:durableId="1097092114">
    <w:abstractNumId w:val="1"/>
  </w:num>
  <w:num w:numId="14" w16cid:durableId="2027361115">
    <w:abstractNumId w:val="0"/>
  </w:num>
  <w:num w:numId="15" w16cid:durableId="1762874944">
    <w:abstractNumId w:val="22"/>
  </w:num>
  <w:num w:numId="16" w16cid:durableId="1235972333">
    <w:abstractNumId w:val="18"/>
  </w:num>
  <w:num w:numId="17" w16cid:durableId="420026812">
    <w:abstractNumId w:val="19"/>
  </w:num>
  <w:num w:numId="18" w16cid:durableId="1637223564">
    <w:abstractNumId w:val="17"/>
  </w:num>
  <w:num w:numId="19" w16cid:durableId="1612545072">
    <w:abstractNumId w:val="13"/>
  </w:num>
  <w:num w:numId="20" w16cid:durableId="1910723922">
    <w:abstractNumId w:val="15"/>
  </w:num>
  <w:num w:numId="21" w16cid:durableId="439299984">
    <w:abstractNumId w:val="10"/>
  </w:num>
  <w:num w:numId="22" w16cid:durableId="727265360">
    <w:abstractNumId w:val="14"/>
  </w:num>
  <w:num w:numId="23" w16cid:durableId="1654529945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F5"/>
    <w:rsid w:val="00043350"/>
    <w:rsid w:val="000C27E3"/>
    <w:rsid w:val="000C6797"/>
    <w:rsid w:val="000C7107"/>
    <w:rsid w:val="0010763C"/>
    <w:rsid w:val="001625BD"/>
    <w:rsid w:val="00186D27"/>
    <w:rsid w:val="001A5D7C"/>
    <w:rsid w:val="001C3C4D"/>
    <w:rsid w:val="001F4440"/>
    <w:rsid w:val="002607D1"/>
    <w:rsid w:val="00287DED"/>
    <w:rsid w:val="00290E95"/>
    <w:rsid w:val="002F6CD2"/>
    <w:rsid w:val="00301408"/>
    <w:rsid w:val="00311163"/>
    <w:rsid w:val="00345612"/>
    <w:rsid w:val="003644EA"/>
    <w:rsid w:val="00391EA1"/>
    <w:rsid w:val="003A3F3C"/>
    <w:rsid w:val="003F66CB"/>
    <w:rsid w:val="0040652B"/>
    <w:rsid w:val="00433CA1"/>
    <w:rsid w:val="004643B2"/>
    <w:rsid w:val="004A735A"/>
    <w:rsid w:val="004C5A46"/>
    <w:rsid w:val="004D2DBC"/>
    <w:rsid w:val="004D2ED6"/>
    <w:rsid w:val="004E355F"/>
    <w:rsid w:val="0053783F"/>
    <w:rsid w:val="0058317D"/>
    <w:rsid w:val="005F1327"/>
    <w:rsid w:val="00600F82"/>
    <w:rsid w:val="00605F81"/>
    <w:rsid w:val="00611B6F"/>
    <w:rsid w:val="006772D7"/>
    <w:rsid w:val="0068031E"/>
    <w:rsid w:val="0069730D"/>
    <w:rsid w:val="006D167A"/>
    <w:rsid w:val="006D455F"/>
    <w:rsid w:val="006F27B5"/>
    <w:rsid w:val="0070515F"/>
    <w:rsid w:val="00740C89"/>
    <w:rsid w:val="00745EDA"/>
    <w:rsid w:val="00753C21"/>
    <w:rsid w:val="007702E7"/>
    <w:rsid w:val="007A3CD8"/>
    <w:rsid w:val="0087126D"/>
    <w:rsid w:val="00882774"/>
    <w:rsid w:val="008E47E2"/>
    <w:rsid w:val="008E580A"/>
    <w:rsid w:val="00912EDF"/>
    <w:rsid w:val="00942ED8"/>
    <w:rsid w:val="009A3CA1"/>
    <w:rsid w:val="009C67F8"/>
    <w:rsid w:val="00A83B70"/>
    <w:rsid w:val="00C6300C"/>
    <w:rsid w:val="00C651BC"/>
    <w:rsid w:val="00C66EA1"/>
    <w:rsid w:val="00C70110"/>
    <w:rsid w:val="00CC600C"/>
    <w:rsid w:val="00CD2E0A"/>
    <w:rsid w:val="00D04391"/>
    <w:rsid w:val="00D4181F"/>
    <w:rsid w:val="00D62C9F"/>
    <w:rsid w:val="00D91C74"/>
    <w:rsid w:val="00DA2AC0"/>
    <w:rsid w:val="00DD5598"/>
    <w:rsid w:val="00DE1916"/>
    <w:rsid w:val="00DE2793"/>
    <w:rsid w:val="00DE7B35"/>
    <w:rsid w:val="00DF29BF"/>
    <w:rsid w:val="00E36DBA"/>
    <w:rsid w:val="00E65AAB"/>
    <w:rsid w:val="00EA07AA"/>
    <w:rsid w:val="00EC371A"/>
    <w:rsid w:val="00ED4F7B"/>
    <w:rsid w:val="00EF103B"/>
    <w:rsid w:val="00F435F5"/>
    <w:rsid w:val="00F77184"/>
    <w:rsid w:val="00FB545C"/>
    <w:rsid w:val="00FE24F0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2197"/>
  <w15:docId w15:val="{D712BCB8-E790-4A44-93F5-3E613999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EA1"/>
    <w:pPr>
      <w:spacing w:after="200" w:line="276" w:lineRule="auto"/>
    </w:pPr>
    <w:rPr>
      <w:rFonts w:ascii="Calibri" w:eastAsia="Times New Roman" w:hAnsi="Calibri" w:cs="Times New Roman"/>
      <w:kern w:val="0"/>
      <w:lang w:val="sq-A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EA1"/>
    <w:pPr>
      <w:keepNext/>
      <w:numPr>
        <w:numId w:val="1"/>
      </w:numPr>
      <w:spacing w:before="240" w:after="60"/>
      <w:ind w:left="0" w:firstLine="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391EA1"/>
    <w:pPr>
      <w:keepNext/>
      <w:numPr>
        <w:ilvl w:val="1"/>
        <w:numId w:val="1"/>
      </w:numPr>
      <w:spacing w:before="240" w:after="60"/>
      <w:ind w:left="0" w:firstLine="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391EA1"/>
    <w:pPr>
      <w:keepNext/>
      <w:numPr>
        <w:ilvl w:val="2"/>
        <w:numId w:val="1"/>
      </w:numPr>
      <w:spacing w:before="240" w:after="60"/>
      <w:ind w:left="720" w:hanging="432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391EA1"/>
    <w:pPr>
      <w:keepNext/>
      <w:numPr>
        <w:ilvl w:val="3"/>
        <w:numId w:val="1"/>
      </w:numPr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391EA1"/>
    <w:pPr>
      <w:numPr>
        <w:ilvl w:val="4"/>
        <w:numId w:val="1"/>
      </w:numPr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391EA1"/>
    <w:pPr>
      <w:numPr>
        <w:ilvl w:val="5"/>
        <w:numId w:val="1"/>
      </w:numPr>
      <w:spacing w:before="240" w:after="60"/>
      <w:ind w:left="1152" w:hanging="432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391EA1"/>
    <w:pPr>
      <w:numPr>
        <w:ilvl w:val="6"/>
        <w:numId w:val="1"/>
      </w:numPr>
      <w:spacing w:before="240" w:after="60"/>
      <w:ind w:left="1296" w:hanging="288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391EA1"/>
    <w:pPr>
      <w:numPr>
        <w:ilvl w:val="7"/>
        <w:numId w:val="1"/>
      </w:numPr>
      <w:spacing w:before="240" w:after="60"/>
      <w:ind w:left="1440" w:hanging="432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391EA1"/>
    <w:pPr>
      <w:numPr>
        <w:ilvl w:val="8"/>
        <w:numId w:val="1"/>
      </w:numPr>
      <w:spacing w:before="240" w:after="60"/>
      <w:ind w:left="1584" w:hanging="144"/>
      <w:outlineLvl w:val="8"/>
    </w:pPr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EA1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91EA1"/>
    <w:rPr>
      <w:rFonts w:ascii="Calibri Light" w:eastAsia="Times New Roman" w:hAnsi="Calibri Light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391EA1"/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91EA1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91EA1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91EA1"/>
    <w:rPr>
      <w:rFonts w:ascii="Calibri" w:eastAsia="Times New Roman" w:hAnsi="Calibri" w:cs="Times New Roman"/>
      <w:b/>
      <w:bCs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91EA1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91EA1"/>
    <w:rPr>
      <w:rFonts w:ascii="Calibri" w:eastAsia="Times New Roman" w:hAnsi="Calibri" w:cs="Times New Roman"/>
      <w:i/>
      <w:iCs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91EA1"/>
    <w:rPr>
      <w:rFonts w:ascii="Calibri Light" w:eastAsia="Times New Roman" w:hAnsi="Calibri Light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57"/>
    <w:unhideWhenUsed/>
    <w:rsid w:val="00391EA1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57"/>
    <w:rsid w:val="00391EA1"/>
    <w:rPr>
      <w:rFonts w:ascii="Calibri" w:eastAsia="Times New Roman" w:hAnsi="Calibri" w:cs="Times New Roman"/>
      <w:kern w:val="0"/>
      <w:sz w:val="20"/>
      <w:szCs w:val="20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57"/>
    <w:unhideWhenUsed/>
    <w:rsid w:val="00391EA1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57"/>
    <w:rsid w:val="00391EA1"/>
    <w:rPr>
      <w:rFonts w:ascii="Calibri" w:eastAsia="Times New Roman" w:hAnsi="Calibri" w:cs="Times New Roman"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uiPriority w:val="99"/>
    <w:unhideWhenUsed/>
    <w:rsid w:val="00391E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1E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EA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EA1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NoSpacing">
    <w:name w:val="No Spacing"/>
    <w:link w:val="NoSpacingChar"/>
    <w:uiPriority w:val="1"/>
    <w:qFormat/>
    <w:rsid w:val="00391EA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Default">
    <w:name w:val="Default"/>
    <w:rsid w:val="00391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E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EA1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391EA1"/>
    <w:rPr>
      <w:vertAlign w:val="superscript"/>
    </w:rPr>
  </w:style>
  <w:style w:type="table" w:styleId="TableGrid">
    <w:name w:val="Table Grid"/>
    <w:basedOn w:val="TableNormal"/>
    <w:uiPriority w:val="59"/>
    <w:rsid w:val="00391EA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ookTitle">
    <w:name w:val="Book Title"/>
    <w:uiPriority w:val="99"/>
    <w:qFormat/>
    <w:rsid w:val="00391EA1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391EA1"/>
    <w:pPr>
      <w:tabs>
        <w:tab w:val="clear" w:pos="4513"/>
        <w:tab w:val="clear" w:pos="9026"/>
        <w:tab w:val="center" w:pos="3686"/>
        <w:tab w:val="right" w:pos="7371"/>
      </w:tabs>
    </w:pPr>
    <w:rPr>
      <w:rFonts w:ascii="Times New Roman" w:hAnsi="Times New Roman"/>
      <w:sz w:val="18"/>
      <w:lang w:eastAsia="x-none"/>
    </w:rPr>
  </w:style>
  <w:style w:type="paragraph" w:customStyle="1" w:styleId="DecHTitle">
    <w:name w:val="Dec_H_Title"/>
    <w:basedOn w:val="ECHRTitleCentre1"/>
    <w:uiPriority w:val="7"/>
    <w:semiHidden/>
    <w:qFormat/>
    <w:rsid w:val="00391EA1"/>
  </w:style>
  <w:style w:type="character" w:styleId="Strong">
    <w:name w:val="Strong"/>
    <w:uiPriority w:val="99"/>
    <w:qFormat/>
    <w:rsid w:val="00391EA1"/>
    <w:rPr>
      <w:b/>
      <w:bCs/>
    </w:rPr>
  </w:style>
  <w:style w:type="character" w:customStyle="1" w:styleId="NoSpacingChar">
    <w:name w:val="No Spacing Char"/>
    <w:link w:val="NoSpacing"/>
    <w:uiPriority w:val="1"/>
    <w:rsid w:val="00391EA1"/>
    <w:rPr>
      <w:rFonts w:ascii="Calibri" w:eastAsia="Times New Roman" w:hAnsi="Calibri" w:cs="Times New Roman"/>
      <w:kern w:val="0"/>
      <w14:ligatures w14:val="none"/>
    </w:rPr>
  </w:style>
  <w:style w:type="paragraph" w:customStyle="1" w:styleId="ECHRParaQuote">
    <w:name w:val="ECHR_Para_Quote"/>
    <w:aliases w:val="Ju_Quot"/>
    <w:basedOn w:val="Normal"/>
    <w:uiPriority w:val="14"/>
    <w:qFormat/>
    <w:rsid w:val="00391EA1"/>
    <w:pPr>
      <w:spacing w:before="120" w:after="120" w:line="240" w:lineRule="auto"/>
      <w:ind w:left="425" w:firstLine="142"/>
      <w:jc w:val="both"/>
    </w:pPr>
    <w:rPr>
      <w:rFonts w:ascii="Times New Roman" w:eastAsia="MS Mincho" w:hAnsi="Times New Roman"/>
      <w:sz w:val="20"/>
      <w:lang w:val="en-GB"/>
    </w:rPr>
  </w:style>
  <w:style w:type="paragraph" w:customStyle="1" w:styleId="DecList">
    <w:name w:val="Dec_List"/>
    <w:basedOn w:val="Normal"/>
    <w:uiPriority w:val="9"/>
    <w:semiHidden/>
    <w:qFormat/>
    <w:rsid w:val="00391EA1"/>
    <w:pPr>
      <w:spacing w:before="240" w:after="0" w:line="240" w:lineRule="auto"/>
      <w:ind w:left="284"/>
      <w:jc w:val="both"/>
    </w:pPr>
    <w:rPr>
      <w:rFonts w:ascii="Times New Roman" w:eastAsia="MS Mincho" w:hAnsi="Times New Roman"/>
      <w:sz w:val="24"/>
      <w:lang w:val="en-GB"/>
    </w:rPr>
  </w:style>
  <w:style w:type="paragraph" w:customStyle="1" w:styleId="DummyStyle">
    <w:name w:val="Dummy_Style"/>
    <w:basedOn w:val="Normal"/>
    <w:semiHidden/>
    <w:qFormat/>
    <w:rsid w:val="00391EA1"/>
    <w:pPr>
      <w:spacing w:after="0" w:line="240" w:lineRule="auto"/>
      <w:jc w:val="both"/>
    </w:pPr>
    <w:rPr>
      <w:rFonts w:ascii="Times New Roman" w:eastAsia="MS Mincho" w:hAnsi="Times New Roman"/>
      <w:color w:val="00B050"/>
      <w:sz w:val="24"/>
      <w:lang w:val="en-GB"/>
    </w:rPr>
  </w:style>
  <w:style w:type="paragraph" w:customStyle="1" w:styleId="JuAppQuestion">
    <w:name w:val="Ju_App_Question"/>
    <w:basedOn w:val="Normal"/>
    <w:uiPriority w:val="5"/>
    <w:semiHidden/>
    <w:qFormat/>
    <w:rsid w:val="00391EA1"/>
    <w:pPr>
      <w:numPr>
        <w:numId w:val="15"/>
      </w:numPr>
      <w:spacing w:after="0" w:line="240" w:lineRule="auto"/>
    </w:pPr>
    <w:rPr>
      <w:rFonts w:ascii="Times New Roman" w:eastAsia="MS Mincho" w:hAnsi="Times New Roman"/>
      <w:b/>
      <w:sz w:val="24"/>
      <w:lang w:val="en-GB"/>
    </w:rPr>
  </w:style>
  <w:style w:type="paragraph" w:customStyle="1" w:styleId="JuCourt">
    <w:name w:val="Ju_Court"/>
    <w:basedOn w:val="Normal"/>
    <w:next w:val="Normal"/>
    <w:uiPriority w:val="16"/>
    <w:qFormat/>
    <w:rsid w:val="00391EA1"/>
    <w:pPr>
      <w:tabs>
        <w:tab w:val="left" w:pos="907"/>
        <w:tab w:val="left" w:pos="1701"/>
        <w:tab w:val="right" w:pos="7371"/>
      </w:tabs>
      <w:spacing w:before="240" w:after="0" w:line="240" w:lineRule="auto"/>
      <w:ind w:left="397" w:hanging="397"/>
    </w:pPr>
    <w:rPr>
      <w:rFonts w:ascii="Times New Roman" w:eastAsia="MS Mincho" w:hAnsi="Times New Roman"/>
      <w:sz w:val="24"/>
      <w:lang w:val="en-GB" w:bidi="en-US"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391EA1"/>
    <w:pPr>
      <w:keepNext/>
      <w:keepLines/>
      <w:spacing w:before="240" w:after="120" w:line="240" w:lineRule="auto"/>
      <w:jc w:val="center"/>
      <w:outlineLvl w:val="3"/>
    </w:pPr>
    <w:rPr>
      <w:rFonts w:ascii="Times New Roman" w:eastAsia="MS Mincho" w:hAnsi="Times New Roman"/>
      <w:b/>
      <w:sz w:val="20"/>
      <w:lang w:val="en-GB"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391EA1"/>
    <w:pPr>
      <w:keepNext/>
      <w:keepLines/>
      <w:spacing w:after="240" w:line="240" w:lineRule="auto"/>
      <w:jc w:val="center"/>
      <w:outlineLvl w:val="0"/>
    </w:pPr>
    <w:rPr>
      <w:rFonts w:ascii="Times New Roman" w:eastAsia="MS Mincho" w:hAnsi="Times New Roman"/>
      <w:sz w:val="28"/>
      <w:lang w:val="en-GB"/>
    </w:rPr>
  </w:style>
  <w:style w:type="paragraph" w:customStyle="1" w:styleId="JuHeaderLandscape">
    <w:name w:val="Ju_Header_Landscape"/>
    <w:basedOn w:val="ECHRHeader"/>
    <w:uiPriority w:val="4"/>
    <w:qFormat/>
    <w:rsid w:val="00391EA1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391EA1"/>
    <w:pPr>
      <w:keepNext/>
      <w:keepLines/>
      <w:spacing w:before="720" w:after="240" w:line="240" w:lineRule="auto"/>
      <w:jc w:val="both"/>
      <w:outlineLvl w:val="0"/>
    </w:pPr>
    <w:rPr>
      <w:rFonts w:ascii="Times New Roman" w:eastAsia="MS Mincho" w:hAnsi="Times New Roman"/>
      <w:sz w:val="28"/>
      <w:lang w:val="en-GB"/>
    </w:rPr>
  </w:style>
  <w:style w:type="paragraph" w:customStyle="1" w:styleId="JuInitialled">
    <w:name w:val="Ju_Initialled"/>
    <w:basedOn w:val="Normal"/>
    <w:uiPriority w:val="31"/>
    <w:qFormat/>
    <w:rsid w:val="00391EA1"/>
    <w:pPr>
      <w:tabs>
        <w:tab w:val="center" w:pos="6407"/>
      </w:tabs>
      <w:spacing w:before="720" w:after="0" w:line="240" w:lineRule="auto"/>
      <w:jc w:val="right"/>
    </w:pPr>
    <w:rPr>
      <w:rFonts w:ascii="Times New Roman" w:eastAsia="MS Mincho" w:hAnsi="Times New Roman"/>
      <w:sz w:val="24"/>
      <w:lang w:val="en-GB"/>
    </w:rPr>
  </w:style>
  <w:style w:type="paragraph" w:customStyle="1" w:styleId="JuSigned">
    <w:name w:val="Ju_Signed"/>
    <w:basedOn w:val="Normal"/>
    <w:next w:val="JuParaLast"/>
    <w:uiPriority w:val="32"/>
    <w:qFormat/>
    <w:rsid w:val="00391EA1"/>
    <w:pPr>
      <w:tabs>
        <w:tab w:val="center" w:pos="851"/>
        <w:tab w:val="center" w:pos="6407"/>
      </w:tabs>
      <w:spacing w:before="720" w:after="0" w:line="240" w:lineRule="auto"/>
    </w:pPr>
    <w:rPr>
      <w:rFonts w:ascii="Times New Roman" w:eastAsia="MS Mincho" w:hAnsi="Times New Roman"/>
      <w:sz w:val="24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391EA1"/>
    <w:pPr>
      <w:pBdr>
        <w:bottom w:val="single" w:sz="4" w:space="1" w:color="auto"/>
      </w:pBdr>
      <w:spacing w:after="0" w:line="240" w:lineRule="auto"/>
      <w:contextualSpacing/>
      <w:jc w:val="both"/>
    </w:pPr>
    <w:rPr>
      <w:rFonts w:ascii="Times New Roman" w:eastAsia="MS Gothic" w:hAnsi="Times New Roman"/>
      <w:spacing w:val="5"/>
      <w:sz w:val="52"/>
      <w:szCs w:val="52"/>
      <w:lang w:val="x-none" w:eastAsia="x-none" w:bidi="en-US"/>
    </w:rPr>
  </w:style>
  <w:style w:type="character" w:customStyle="1" w:styleId="TitleChar">
    <w:name w:val="Title Char"/>
    <w:basedOn w:val="DefaultParagraphFont"/>
    <w:link w:val="Title"/>
    <w:uiPriority w:val="99"/>
    <w:rsid w:val="00391EA1"/>
    <w:rPr>
      <w:rFonts w:ascii="Times New Roman" w:eastAsia="MS Gothic" w:hAnsi="Times New Roman" w:cs="Times New Roman"/>
      <w:spacing w:val="5"/>
      <w:kern w:val="0"/>
      <w:sz w:val="52"/>
      <w:szCs w:val="52"/>
      <w:lang w:val="x-none" w:eastAsia="x-none" w:bidi="en-US"/>
      <w14:ligatures w14:val="none"/>
    </w:rPr>
  </w:style>
  <w:style w:type="character" w:customStyle="1" w:styleId="JuITMark">
    <w:name w:val="Ju_ITMark"/>
    <w:uiPriority w:val="38"/>
    <w:qFormat/>
    <w:rsid w:val="00391EA1"/>
    <w:rPr>
      <w:vanish w:val="0"/>
      <w:color w:val="auto"/>
      <w:sz w:val="14"/>
      <w:bdr w:val="none" w:sz="0" w:space="0" w:color="auto"/>
      <w:shd w:val="clear" w:color="auto" w:fill="BEE5FF"/>
    </w:rPr>
  </w:style>
  <w:style w:type="paragraph" w:customStyle="1" w:styleId="JuLista">
    <w:name w:val="Ju_List_a"/>
    <w:basedOn w:val="JuList"/>
    <w:uiPriority w:val="28"/>
    <w:qFormat/>
    <w:rsid w:val="00391EA1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391EA1"/>
    <w:pPr>
      <w:spacing w:after="0" w:line="240" w:lineRule="auto"/>
      <w:ind w:left="794"/>
      <w:jc w:val="both"/>
    </w:pPr>
    <w:rPr>
      <w:rFonts w:ascii="Times New Roman" w:eastAsia="MS Mincho" w:hAnsi="Times New Roman"/>
      <w:sz w:val="24"/>
      <w:lang w:val="en-GB"/>
    </w:rPr>
  </w:style>
  <w:style w:type="character" w:customStyle="1" w:styleId="JUNAMES">
    <w:name w:val="JU_NAMES"/>
    <w:uiPriority w:val="17"/>
    <w:qFormat/>
    <w:rsid w:val="00391EA1"/>
    <w:rPr>
      <w:caps w:val="0"/>
      <w:smallCaps/>
    </w:rPr>
  </w:style>
  <w:style w:type="paragraph" w:customStyle="1" w:styleId="JuParaSub">
    <w:name w:val="Ju_Para_Sub"/>
    <w:basedOn w:val="ECHRPara"/>
    <w:uiPriority w:val="13"/>
    <w:qFormat/>
    <w:rsid w:val="00391EA1"/>
    <w:pPr>
      <w:ind w:left="284"/>
    </w:p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391EA1"/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391EA1"/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391EA1"/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391EA1"/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391EA1"/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391EA1"/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391EA1"/>
  </w:style>
  <w:style w:type="paragraph" w:customStyle="1" w:styleId="JuParaLast">
    <w:name w:val="Ju_Para_Last"/>
    <w:basedOn w:val="Normal"/>
    <w:next w:val="ECHRPara"/>
    <w:uiPriority w:val="30"/>
    <w:qFormat/>
    <w:rsid w:val="00391EA1"/>
    <w:pPr>
      <w:keepNext/>
      <w:keepLines/>
      <w:spacing w:before="240" w:after="0" w:line="240" w:lineRule="auto"/>
      <w:ind w:firstLine="284"/>
      <w:jc w:val="both"/>
    </w:pPr>
    <w:rPr>
      <w:rFonts w:ascii="Times New Roman" w:eastAsia="MS Mincho" w:hAnsi="Times New Roman"/>
      <w:sz w:val="24"/>
      <w:lang w:val="en-GB"/>
    </w:rPr>
  </w:style>
  <w:style w:type="paragraph" w:customStyle="1" w:styleId="ECHRDecisionBody">
    <w:name w:val="ECHR_Decision_Body"/>
    <w:aliases w:val="Ju_Judges"/>
    <w:basedOn w:val="Normal"/>
    <w:uiPriority w:val="11"/>
    <w:qFormat/>
    <w:rsid w:val="00391EA1"/>
    <w:pPr>
      <w:tabs>
        <w:tab w:val="left" w:pos="567"/>
        <w:tab w:val="left" w:pos="1134"/>
      </w:tabs>
      <w:spacing w:after="0" w:line="240" w:lineRule="auto"/>
    </w:pPr>
    <w:rPr>
      <w:rFonts w:ascii="Times New Roman" w:eastAsia="MS Mincho" w:hAnsi="Times New Roman"/>
      <w:sz w:val="24"/>
      <w:lang w:val="en-GB"/>
    </w:rPr>
  </w:style>
  <w:style w:type="paragraph" w:customStyle="1" w:styleId="JuList">
    <w:name w:val="Ju_List"/>
    <w:basedOn w:val="Normal"/>
    <w:uiPriority w:val="28"/>
    <w:qFormat/>
    <w:rsid w:val="00391EA1"/>
    <w:pPr>
      <w:spacing w:after="0" w:line="240" w:lineRule="auto"/>
      <w:ind w:left="340" w:hanging="340"/>
      <w:jc w:val="both"/>
    </w:pPr>
    <w:rPr>
      <w:rFonts w:ascii="Times New Roman" w:eastAsia="MS Mincho" w:hAnsi="Times New Roman"/>
      <w:sz w:val="24"/>
      <w:lang w:val="en-GB"/>
    </w:rPr>
  </w:style>
  <w:style w:type="paragraph" w:customStyle="1" w:styleId="JuQuotSub">
    <w:name w:val="Ju_Quot_Sub"/>
    <w:basedOn w:val="ECHRParaQuote"/>
    <w:uiPriority w:val="15"/>
    <w:qFormat/>
    <w:rsid w:val="00391EA1"/>
    <w:pPr>
      <w:ind w:left="567"/>
    </w:pPr>
  </w:style>
  <w:style w:type="paragraph" w:customStyle="1" w:styleId="JuTitle">
    <w:name w:val="Ju_Title"/>
    <w:basedOn w:val="Normal"/>
    <w:next w:val="ECHRPara"/>
    <w:uiPriority w:val="3"/>
    <w:semiHidden/>
    <w:qFormat/>
    <w:rsid w:val="00391EA1"/>
    <w:pPr>
      <w:spacing w:before="720" w:after="240" w:line="240" w:lineRule="auto"/>
      <w:jc w:val="center"/>
      <w:outlineLvl w:val="0"/>
    </w:pPr>
    <w:rPr>
      <w:rFonts w:ascii="Times New Roman" w:eastAsia="MS Mincho" w:hAnsi="Times New Roman"/>
      <w:b/>
      <w:caps/>
      <w:sz w:val="24"/>
      <w:lang w:val="en-GB"/>
    </w:rPr>
  </w:style>
  <w:style w:type="character" w:styleId="SubtleEmphasis">
    <w:name w:val="Subtle Emphasis"/>
    <w:uiPriority w:val="99"/>
    <w:qFormat/>
    <w:rsid w:val="00391EA1"/>
    <w:rPr>
      <w:i/>
      <w:iCs/>
    </w:rPr>
  </w:style>
  <w:style w:type="paragraph" w:customStyle="1" w:styleId="OpiH1">
    <w:name w:val="Opi_H_1"/>
    <w:basedOn w:val="ECHRHeading2"/>
    <w:uiPriority w:val="42"/>
    <w:qFormat/>
    <w:rsid w:val="00391EA1"/>
    <w:pPr>
      <w:keepLines/>
      <w:numPr>
        <w:ilvl w:val="0"/>
        <w:numId w:val="0"/>
      </w:numPr>
      <w:tabs>
        <w:tab w:val="left" w:pos="584"/>
      </w:tabs>
      <w:spacing w:before="360" w:after="240" w:line="240" w:lineRule="auto"/>
      <w:ind w:left="635" w:hanging="357"/>
      <w:jc w:val="both"/>
      <w:outlineLvl w:val="2"/>
    </w:pPr>
    <w:rPr>
      <w:rFonts w:ascii="Times New Roman" w:eastAsia="MS Gothic" w:hAnsi="Times New Roman"/>
      <w:i w:val="0"/>
      <w:iCs w:val="0"/>
      <w:sz w:val="24"/>
      <w:szCs w:val="26"/>
      <w:lang w:val="en-GB" w:eastAsia="x-none"/>
    </w:rPr>
  </w:style>
  <w:style w:type="table" w:customStyle="1" w:styleId="ECHRTable">
    <w:name w:val="ECHR_Table"/>
    <w:basedOn w:val="TableNormal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">
    <w:name w:val="ECHR_Table_Box_Header"/>
    <w:basedOn w:val="TableNormal"/>
    <w:rsid w:val="00391EA1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en-GB"/>
      <w14:ligatures w14:val="none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paragraph" w:customStyle="1" w:styleId="OpiHa">
    <w:name w:val="Opi_H_a"/>
    <w:basedOn w:val="ECHRHeading3"/>
    <w:uiPriority w:val="43"/>
    <w:qFormat/>
    <w:rsid w:val="00391EA1"/>
    <w:pPr>
      <w:keepLines/>
      <w:numPr>
        <w:ilvl w:val="0"/>
        <w:numId w:val="0"/>
      </w:numPr>
      <w:tabs>
        <w:tab w:val="left" w:pos="731"/>
      </w:tabs>
      <w:spacing w:after="120" w:line="240" w:lineRule="auto"/>
      <w:ind w:left="833" w:hanging="357"/>
      <w:jc w:val="both"/>
      <w:outlineLvl w:val="3"/>
    </w:pPr>
    <w:rPr>
      <w:rFonts w:ascii="Times New Roman" w:eastAsia="MS Gothic" w:hAnsi="Times New Roman"/>
      <w:sz w:val="20"/>
      <w:szCs w:val="20"/>
      <w:lang w:val="en-GB" w:eastAsia="x-none"/>
    </w:rPr>
  </w:style>
  <w:style w:type="paragraph" w:customStyle="1" w:styleId="OpiHA0">
    <w:name w:val="Opi_H_A"/>
    <w:basedOn w:val="ECHRHeading1"/>
    <w:next w:val="OpiPara"/>
    <w:uiPriority w:val="41"/>
    <w:qFormat/>
    <w:rsid w:val="00391EA1"/>
    <w:pPr>
      <w:keepLines/>
      <w:numPr>
        <w:numId w:val="0"/>
      </w:numPr>
      <w:spacing w:before="360" w:after="240" w:line="240" w:lineRule="auto"/>
      <w:ind w:left="357" w:hanging="357"/>
      <w:jc w:val="both"/>
      <w:outlineLvl w:val="1"/>
    </w:pPr>
    <w:rPr>
      <w:rFonts w:ascii="Times New Roman" w:eastAsia="MS Gothic" w:hAnsi="Times New Roman"/>
      <w:kern w:val="0"/>
      <w:sz w:val="24"/>
      <w:szCs w:val="28"/>
      <w:lang w:val="en-GB" w:eastAsia="x-none"/>
    </w:rPr>
  </w:style>
  <w:style w:type="paragraph" w:customStyle="1" w:styleId="OpiHi">
    <w:name w:val="Opi_H_i"/>
    <w:basedOn w:val="ECHRHeading4"/>
    <w:uiPriority w:val="44"/>
    <w:qFormat/>
    <w:rsid w:val="00391EA1"/>
    <w:pPr>
      <w:keepLines/>
      <w:numPr>
        <w:ilvl w:val="0"/>
        <w:numId w:val="0"/>
      </w:numPr>
      <w:tabs>
        <w:tab w:val="left" w:pos="975"/>
      </w:tabs>
      <w:spacing w:after="120" w:line="240" w:lineRule="auto"/>
      <w:ind w:left="1037" w:hanging="357"/>
      <w:jc w:val="both"/>
      <w:outlineLvl w:val="4"/>
    </w:pPr>
    <w:rPr>
      <w:rFonts w:ascii="Times New Roman" w:eastAsia="MS Gothic" w:hAnsi="Times New Roman"/>
      <w:b w:val="0"/>
      <w:i/>
      <w:iCs/>
      <w:sz w:val="20"/>
      <w:szCs w:val="20"/>
      <w:lang w:val="en-GB" w:eastAsia="x-none"/>
    </w:rPr>
  </w:style>
  <w:style w:type="character" w:styleId="Emphasis">
    <w:name w:val="Emphasis"/>
    <w:uiPriority w:val="99"/>
    <w:qFormat/>
    <w:rsid w:val="00391EA1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99"/>
    <w:qFormat/>
    <w:rsid w:val="00391EA1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91EA1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MS Mincho" w:hAnsi="Times New Roman"/>
      <w:b/>
      <w:bCs/>
      <w:i/>
      <w:iCs/>
      <w:sz w:val="20"/>
      <w:szCs w:val="20"/>
      <w:lang w:val="x-none" w:eastAsia="x-none"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391EA1"/>
    <w:rPr>
      <w:rFonts w:ascii="Times New Roman" w:eastAsia="MS Mincho" w:hAnsi="Times New Roman" w:cs="Times New Roman"/>
      <w:b/>
      <w:bCs/>
      <w:i/>
      <w:iCs/>
      <w:kern w:val="0"/>
      <w:sz w:val="20"/>
      <w:szCs w:val="20"/>
      <w:lang w:val="x-none" w:eastAsia="x-none" w:bidi="en-US"/>
      <w14:ligatures w14:val="none"/>
    </w:rPr>
  </w:style>
  <w:style w:type="character" w:styleId="IntenseReference">
    <w:name w:val="Intense Reference"/>
    <w:uiPriority w:val="99"/>
    <w:qFormat/>
    <w:rsid w:val="00391EA1"/>
    <w:rPr>
      <w:smallCaps/>
      <w:spacing w:val="5"/>
      <w:u w:val="single"/>
    </w:rPr>
  </w:style>
  <w:style w:type="table" w:customStyle="1" w:styleId="LtrTableAddress">
    <w:name w:val="Ltr_Table_Address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qFormat/>
    <w:rsid w:val="00391EA1"/>
    <w:pPr>
      <w:spacing w:before="200" w:after="0" w:line="240" w:lineRule="auto"/>
      <w:ind w:left="360" w:right="360"/>
      <w:jc w:val="both"/>
    </w:pPr>
    <w:rPr>
      <w:rFonts w:ascii="Times New Roman" w:eastAsia="MS Mincho" w:hAnsi="Times New Roman"/>
      <w:i/>
      <w:iCs/>
      <w:sz w:val="20"/>
      <w:szCs w:val="20"/>
      <w:lang w:val="x-none" w:eastAsia="x-none" w:bidi="en-US"/>
    </w:rPr>
  </w:style>
  <w:style w:type="character" w:customStyle="1" w:styleId="QuoteChar">
    <w:name w:val="Quote Char"/>
    <w:basedOn w:val="DefaultParagraphFont"/>
    <w:link w:val="Quote"/>
    <w:uiPriority w:val="99"/>
    <w:rsid w:val="00391EA1"/>
    <w:rPr>
      <w:rFonts w:ascii="Times New Roman" w:eastAsia="MS Mincho" w:hAnsi="Times New Roman" w:cs="Times New Roman"/>
      <w:i/>
      <w:iCs/>
      <w:kern w:val="0"/>
      <w:sz w:val="20"/>
      <w:szCs w:val="20"/>
      <w:lang w:val="x-none" w:eastAsia="x-none" w:bidi="en-US"/>
      <w14:ligatures w14:val="none"/>
    </w:rPr>
  </w:style>
  <w:style w:type="character" w:styleId="SubtleReference">
    <w:name w:val="Subtle Reference"/>
    <w:uiPriority w:val="99"/>
    <w:qFormat/>
    <w:rsid w:val="00391EA1"/>
    <w:rPr>
      <w:smallCaps/>
    </w:rPr>
  </w:style>
  <w:style w:type="paragraph" w:styleId="TOC1">
    <w:name w:val="toc 1"/>
    <w:basedOn w:val="Normal"/>
    <w:next w:val="Normal"/>
    <w:autoRedefine/>
    <w:uiPriority w:val="99"/>
    <w:semiHidden/>
    <w:rsid w:val="00391EA1"/>
    <w:pPr>
      <w:keepNext/>
      <w:tabs>
        <w:tab w:val="right" w:leader="dot" w:pos="7371"/>
      </w:tabs>
      <w:spacing w:before="160" w:after="60" w:line="240" w:lineRule="exact"/>
      <w:ind w:left="340" w:right="567" w:hanging="340"/>
      <w:jc w:val="both"/>
    </w:pPr>
    <w:rPr>
      <w:rFonts w:ascii="Times New Roman" w:eastAsia="MS Mincho" w:hAnsi="Times New Roman"/>
      <w:b/>
      <w:lang w:val="en-GB"/>
    </w:rPr>
  </w:style>
  <w:style w:type="paragraph" w:styleId="TOC2">
    <w:name w:val="toc 2"/>
    <w:basedOn w:val="Normal"/>
    <w:next w:val="Normal"/>
    <w:autoRedefine/>
    <w:uiPriority w:val="99"/>
    <w:semiHidden/>
    <w:rsid w:val="00391EA1"/>
    <w:pPr>
      <w:keepNext/>
      <w:tabs>
        <w:tab w:val="right" w:leader="dot" w:pos="7371"/>
      </w:tabs>
      <w:spacing w:after="60" w:line="240" w:lineRule="exact"/>
      <w:ind w:left="680" w:right="567" w:hanging="340"/>
      <w:jc w:val="both"/>
    </w:pPr>
    <w:rPr>
      <w:rFonts w:ascii="Times New Roman" w:eastAsia="MS Mincho" w:hAnsi="Times New Roman"/>
      <w:lang w:val="en-GB"/>
    </w:rPr>
  </w:style>
  <w:style w:type="paragraph" w:styleId="TOC3">
    <w:name w:val="toc 3"/>
    <w:basedOn w:val="Normal"/>
    <w:next w:val="Normal"/>
    <w:autoRedefine/>
    <w:uiPriority w:val="99"/>
    <w:semiHidden/>
    <w:rsid w:val="00391EA1"/>
    <w:pPr>
      <w:keepNext/>
      <w:tabs>
        <w:tab w:val="right" w:leader="dot" w:pos="7371"/>
      </w:tabs>
      <w:spacing w:after="60" w:line="240" w:lineRule="exact"/>
      <w:ind w:left="1020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4">
    <w:name w:val="toc 4"/>
    <w:basedOn w:val="Normal"/>
    <w:next w:val="Normal"/>
    <w:autoRedefine/>
    <w:uiPriority w:val="99"/>
    <w:semiHidden/>
    <w:rsid w:val="00391EA1"/>
    <w:pPr>
      <w:tabs>
        <w:tab w:val="right" w:leader="dot" w:pos="7371"/>
      </w:tabs>
      <w:spacing w:after="60" w:line="240" w:lineRule="exact"/>
      <w:ind w:left="1361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5">
    <w:name w:val="toc 5"/>
    <w:basedOn w:val="Normal"/>
    <w:next w:val="Normal"/>
    <w:autoRedefine/>
    <w:uiPriority w:val="99"/>
    <w:semiHidden/>
    <w:rsid w:val="00391EA1"/>
    <w:pPr>
      <w:tabs>
        <w:tab w:val="right" w:leader="dot" w:pos="7371"/>
      </w:tabs>
      <w:spacing w:after="60" w:line="240" w:lineRule="exact"/>
      <w:ind w:left="1701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Heading">
    <w:name w:val="TOC Heading"/>
    <w:basedOn w:val="Normal"/>
    <w:next w:val="Normal"/>
    <w:uiPriority w:val="99"/>
    <w:semiHidden/>
    <w:qFormat/>
    <w:rsid w:val="00391EA1"/>
    <w:pPr>
      <w:keepNext/>
      <w:spacing w:before="240" w:after="60"/>
    </w:pPr>
    <w:rPr>
      <w:rFonts w:ascii="Calibri Light" w:hAnsi="Calibri Light"/>
      <w:kern w:val="32"/>
      <w:sz w:val="32"/>
      <w:szCs w:val="32"/>
    </w:rPr>
  </w:style>
  <w:style w:type="table" w:customStyle="1" w:styleId="UGTable">
    <w:name w:val="UG_Table"/>
    <w:basedOn w:val="TableNormal"/>
    <w:uiPriority w:val="99"/>
    <w:rsid w:val="00391EA1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val="en-GB" w:eastAsia="en-GB"/>
      <w14:ligatures w14:val="none"/>
    </w:rPr>
    <w:tblPr>
      <w:tblInd w:w="-964" w:type="dxa"/>
      <w:tblCellMar>
        <w:left w:w="57" w:type="dxa"/>
        <w:bottom w:w="57" w:type="dxa"/>
        <w:right w:w="113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391EA1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val="en-GB" w:eastAsia="en-GB"/>
      <w14:ligatures w14:val="none"/>
    </w:rPr>
    <w:tblPr>
      <w:tblInd w:w="113" w:type="dxa"/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20"/>
      <w14:ligatures w14:val="none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Autospacing="0" w:afterLines="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paragraph" w:styleId="TOAHeading">
    <w:name w:val="toa heading"/>
    <w:basedOn w:val="Normal"/>
    <w:next w:val="Normal"/>
    <w:uiPriority w:val="99"/>
    <w:semiHidden/>
    <w:rsid w:val="00391EA1"/>
    <w:pPr>
      <w:keepNext/>
      <w:keepLines/>
      <w:spacing w:before="240" w:after="0" w:line="240" w:lineRule="auto"/>
      <w:contextualSpacing/>
      <w:jc w:val="center"/>
    </w:pPr>
    <w:rPr>
      <w:rFonts w:ascii="Times New Roman" w:eastAsia="MS Gothic" w:hAnsi="Times New Roman"/>
      <w:b/>
      <w:bCs/>
      <w:color w:val="474747"/>
      <w:sz w:val="28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99"/>
    <w:qFormat/>
    <w:rsid w:val="00391EA1"/>
    <w:pPr>
      <w:spacing w:after="600" w:line="240" w:lineRule="auto"/>
      <w:jc w:val="both"/>
    </w:pPr>
    <w:rPr>
      <w:rFonts w:ascii="Times New Roman" w:eastAsia="MS Gothic" w:hAnsi="Times New Roman"/>
      <w:i/>
      <w:iCs/>
      <w:spacing w:val="13"/>
      <w:sz w:val="24"/>
      <w:szCs w:val="24"/>
      <w:lang w:val="x-none" w:eastAsia="x-none" w:bidi="en-US"/>
    </w:rPr>
  </w:style>
  <w:style w:type="character" w:customStyle="1" w:styleId="SubtitleChar">
    <w:name w:val="Subtitle Char"/>
    <w:basedOn w:val="DefaultParagraphFont"/>
    <w:link w:val="Subtitle"/>
    <w:uiPriority w:val="99"/>
    <w:rsid w:val="00391EA1"/>
    <w:rPr>
      <w:rFonts w:ascii="Times New Roman" w:eastAsia="MS Gothic" w:hAnsi="Times New Roman" w:cs="Times New Roman"/>
      <w:i/>
      <w:iCs/>
      <w:spacing w:val="13"/>
      <w:kern w:val="0"/>
      <w:sz w:val="24"/>
      <w:szCs w:val="24"/>
      <w:lang w:val="x-none" w:eastAsia="x-none" w:bidi="en-US"/>
      <w14:ligatures w14:val="none"/>
    </w:rPr>
  </w:style>
  <w:style w:type="numbering" w:styleId="111111">
    <w:name w:val="Outline List 2"/>
    <w:basedOn w:val="NoList"/>
    <w:uiPriority w:val="99"/>
    <w:semiHidden/>
    <w:unhideWhenUsed/>
    <w:rsid w:val="00391EA1"/>
    <w:pPr>
      <w:numPr>
        <w:numId w:val="4"/>
      </w:numPr>
    </w:p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391EA1"/>
    <w:pPr>
      <w:spacing w:after="0" w:line="240" w:lineRule="auto"/>
      <w:ind w:firstLine="284"/>
      <w:jc w:val="both"/>
    </w:pPr>
    <w:rPr>
      <w:rFonts w:ascii="Times New Roman" w:eastAsia="MS Mincho" w:hAnsi="Times New Roman"/>
      <w:sz w:val="24"/>
      <w:szCs w:val="20"/>
      <w:lang w:val="en-GB" w:eastAsia="x-none"/>
    </w:rPr>
  </w:style>
  <w:style w:type="numbering" w:styleId="1ai">
    <w:name w:val="Outline List 1"/>
    <w:basedOn w:val="NoList"/>
    <w:uiPriority w:val="99"/>
    <w:semiHidden/>
    <w:unhideWhenUsed/>
    <w:rsid w:val="00391EA1"/>
    <w:pPr>
      <w:numPr>
        <w:numId w:val="5"/>
      </w:numPr>
    </w:pPr>
  </w:style>
  <w:style w:type="table" w:customStyle="1" w:styleId="ECHRTableSimpleBox">
    <w:name w:val="ECHR_Table_Simple_Box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numbering" w:styleId="ArticleSection">
    <w:name w:val="Outline List 3"/>
    <w:basedOn w:val="NoList"/>
    <w:uiPriority w:val="99"/>
    <w:semiHidden/>
    <w:unhideWhenUsed/>
    <w:rsid w:val="00391EA1"/>
    <w:pPr>
      <w:numPr>
        <w:numId w:val="6"/>
      </w:numPr>
    </w:pPr>
  </w:style>
  <w:style w:type="table" w:customStyle="1" w:styleId="ECHRTableForInternalUse">
    <w:name w:val="ECHR_Table_For_Internal_Use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color w:val="636363"/>
      <w:kern w:val="0"/>
      <w:sz w:val="18"/>
      <w:szCs w:val="20"/>
      <w14:ligatures w14:val="none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paragraph" w:styleId="Bibliography">
    <w:name w:val="Bibliography"/>
    <w:basedOn w:val="Normal"/>
    <w:next w:val="Normal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4"/>
      <w:lang w:val="en-GB"/>
    </w:rPr>
  </w:style>
  <w:style w:type="paragraph" w:styleId="BlockText">
    <w:name w:val="Block Text"/>
    <w:basedOn w:val="Normal"/>
    <w:uiPriority w:val="99"/>
    <w:semiHidden/>
    <w:rsid w:val="00391EA1"/>
    <w:pPr>
      <w:pBdr>
        <w:top w:val="single" w:sz="2" w:space="10" w:color="0072BC" w:shadow="1" w:frame="1"/>
        <w:left w:val="single" w:sz="2" w:space="10" w:color="0072BC" w:shadow="1" w:frame="1"/>
        <w:bottom w:val="single" w:sz="2" w:space="10" w:color="0072BC" w:shadow="1" w:frame="1"/>
        <w:right w:val="single" w:sz="2" w:space="10" w:color="0072BC" w:shadow="1" w:frame="1"/>
      </w:pBdr>
      <w:spacing w:after="0" w:line="240" w:lineRule="auto"/>
      <w:ind w:left="1152" w:right="1152"/>
      <w:jc w:val="both"/>
    </w:pPr>
    <w:rPr>
      <w:rFonts w:ascii="Times New Roman" w:eastAsia="MS Mincho" w:hAnsi="Times New Roman"/>
      <w:i/>
      <w:iCs/>
      <w:color w:val="0072BC"/>
      <w:sz w:val="24"/>
      <w:lang w:val="en-GB"/>
    </w:rPr>
  </w:style>
  <w:style w:type="table" w:customStyle="1" w:styleId="ECHRHeaderTable">
    <w:name w:val="ECHR_Header_Table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styleId="BodyText">
    <w:name w:val="Body Text"/>
    <w:basedOn w:val="Normal"/>
    <w:link w:val="BodyTextChar"/>
    <w:uiPriority w:val="99"/>
    <w:semiHidden/>
    <w:rsid w:val="00391EA1"/>
    <w:pPr>
      <w:spacing w:after="12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table" w:customStyle="1" w:styleId="ECHRTableOddBanded">
    <w:name w:val="ECHR_Table_Odd_Banded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paragraph" w:styleId="BodyText2">
    <w:name w:val="Body Text 2"/>
    <w:basedOn w:val="Normal"/>
    <w:link w:val="BodyText2Char"/>
    <w:uiPriority w:val="99"/>
    <w:semiHidden/>
    <w:rsid w:val="00391EA1"/>
    <w:pPr>
      <w:spacing w:after="120" w:line="48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table" w:customStyle="1" w:styleId="ECHRHeaderTableReduced">
    <w:name w:val="ECHR_Header_Table_Reduced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Case">
    <w:name w:val="Ju_Case"/>
    <w:basedOn w:val="Normal"/>
    <w:next w:val="ECHRPara"/>
    <w:uiPriority w:val="10"/>
    <w:rsid w:val="00391EA1"/>
    <w:pPr>
      <w:spacing w:after="0" w:line="240" w:lineRule="auto"/>
      <w:ind w:firstLine="284"/>
      <w:jc w:val="both"/>
    </w:pPr>
    <w:rPr>
      <w:rFonts w:ascii="Times New Roman" w:eastAsia="MS Mincho" w:hAnsi="Times New Roman"/>
      <w:b/>
      <w:sz w:val="24"/>
      <w:lang w:val="en-GB"/>
    </w:rPr>
  </w:style>
  <w:style w:type="character" w:styleId="PageNumber">
    <w:name w:val="page number"/>
    <w:uiPriority w:val="99"/>
    <w:semiHidden/>
    <w:rsid w:val="00391EA1"/>
    <w:rPr>
      <w:sz w:val="18"/>
    </w:rPr>
  </w:style>
  <w:style w:type="paragraph" w:styleId="ListBullet">
    <w:name w:val="List Bullet"/>
    <w:basedOn w:val="Normal"/>
    <w:uiPriority w:val="99"/>
    <w:semiHidden/>
    <w:rsid w:val="00391EA1"/>
    <w:pPr>
      <w:numPr>
        <w:numId w:val="3"/>
      </w:numPr>
      <w:spacing w:after="0" w:line="240" w:lineRule="auto"/>
      <w:jc w:val="both"/>
    </w:pPr>
    <w:rPr>
      <w:rFonts w:ascii="Times New Roman" w:eastAsia="MS Mincho" w:hAnsi="Times New Roman"/>
      <w:sz w:val="24"/>
      <w:lang w:val="en-GB"/>
    </w:rPr>
  </w:style>
  <w:style w:type="paragraph" w:styleId="ListBullet3">
    <w:name w:val="List Bullet 3"/>
    <w:basedOn w:val="Normal"/>
    <w:uiPriority w:val="99"/>
    <w:semiHidden/>
    <w:rsid w:val="00391EA1"/>
    <w:pPr>
      <w:numPr>
        <w:numId w:val="2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391EA1"/>
    <w:pPr>
      <w:spacing w:after="120" w:line="240" w:lineRule="auto"/>
      <w:jc w:val="both"/>
    </w:pPr>
    <w:rPr>
      <w:rFonts w:ascii="Times New Roman" w:eastAsia="MS Mincho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1EA1"/>
    <w:rPr>
      <w:rFonts w:ascii="Times New Roman" w:eastAsia="MS Mincho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391EA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rsid w:val="00391EA1"/>
    <w:pPr>
      <w:spacing w:after="120" w:line="240" w:lineRule="auto"/>
      <w:ind w:left="283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391EA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rsid w:val="00391EA1"/>
    <w:pPr>
      <w:spacing w:after="120" w:line="480" w:lineRule="auto"/>
      <w:ind w:left="283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rsid w:val="00391EA1"/>
    <w:pPr>
      <w:spacing w:after="120" w:line="240" w:lineRule="auto"/>
      <w:ind w:left="283"/>
      <w:jc w:val="both"/>
    </w:pPr>
    <w:rPr>
      <w:rFonts w:ascii="Times New Roman" w:eastAsia="MS Mincho" w:hAnsi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1EA1"/>
    <w:rPr>
      <w:rFonts w:ascii="Times New Roman" w:eastAsia="MS Mincho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Caption">
    <w:name w:val="caption"/>
    <w:basedOn w:val="Normal"/>
    <w:next w:val="Normal"/>
    <w:uiPriority w:val="99"/>
    <w:semiHidden/>
    <w:qFormat/>
    <w:rsid w:val="00391EA1"/>
    <w:pPr>
      <w:spacing w:line="240" w:lineRule="auto"/>
      <w:jc w:val="both"/>
    </w:pPr>
    <w:rPr>
      <w:rFonts w:ascii="Times New Roman" w:eastAsia="MS Mincho" w:hAnsi="Times New Roman"/>
      <w:b/>
      <w:bCs/>
      <w:color w:val="0072BC"/>
      <w:sz w:val="18"/>
      <w:szCs w:val="18"/>
      <w:lang w:val="en-GB"/>
    </w:rPr>
  </w:style>
  <w:style w:type="paragraph" w:styleId="Closing">
    <w:name w:val="Closing"/>
    <w:basedOn w:val="Normal"/>
    <w:link w:val="ClosingChar"/>
    <w:uiPriority w:val="99"/>
    <w:semiHidden/>
    <w:rsid w:val="00391EA1"/>
    <w:pPr>
      <w:spacing w:after="0" w:line="240" w:lineRule="auto"/>
      <w:ind w:left="4252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table" w:styleId="ColorfulGrid">
    <w:name w:val="Colorful Grid"/>
    <w:basedOn w:val="TableNormal"/>
    <w:uiPriority w:val="73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ColorfulGrid-Accent2">
    <w:name w:val="Colorful Grid Accent 2"/>
    <w:basedOn w:val="TableNormal"/>
    <w:uiPriority w:val="73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ColorfulGrid-Accent3">
    <w:name w:val="Colorful Grid Accent 3"/>
    <w:basedOn w:val="TableNormal"/>
    <w:uiPriority w:val="73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4">
    <w:name w:val="Colorful Grid Accent 4"/>
    <w:basedOn w:val="TableNormal"/>
    <w:uiPriority w:val="73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ColorfulGrid-Accent5">
    <w:name w:val="Colorful Grid Accent 5"/>
    <w:basedOn w:val="TableNormal"/>
    <w:uiPriority w:val="73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6">
    <w:name w:val="Colorful Grid Accent 6"/>
    <w:basedOn w:val="TableNormal"/>
    <w:uiPriority w:val="73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ColorfulList">
    <w:name w:val="Colorful List"/>
    <w:basedOn w:val="TableNormal"/>
    <w:uiPriority w:val="72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styleId="ColorfulList-Accent2">
    <w:name w:val="Colorful List Accent 2"/>
    <w:basedOn w:val="TableNormal"/>
    <w:uiPriority w:val="72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styleId="ColorfulList-Accent3">
    <w:name w:val="Colorful List Accent 3"/>
    <w:basedOn w:val="TableNormal"/>
    <w:uiPriority w:val="72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4">
    <w:name w:val="Colorful List Accent 4"/>
    <w:basedOn w:val="TableNormal"/>
    <w:uiPriority w:val="72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styleId="ColorfulList-Accent5">
    <w:name w:val="Colorful List Accent 5"/>
    <w:basedOn w:val="TableNormal"/>
    <w:uiPriority w:val="72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6">
    <w:name w:val="Colorful List Accent 6"/>
    <w:basedOn w:val="TableNormal"/>
    <w:uiPriority w:val="72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styleId="ColorfulShading">
    <w:name w:val="Colorful Shading"/>
    <w:basedOn w:val="TableNormal"/>
    <w:uiPriority w:val="71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styleId="ColorfulShading-Accent4">
    <w:name w:val="Colorful Shading Accent 4"/>
    <w:basedOn w:val="TableNormal"/>
    <w:uiPriority w:val="71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semiHidden/>
    <w:rsid w:val="00391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EA1"/>
    <w:rPr>
      <w:rFonts w:ascii="Times New Roman" w:eastAsia="MS Mincho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91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EA1"/>
    <w:rPr>
      <w:rFonts w:ascii="Times New Roman" w:eastAsia="MS Mincho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table" w:styleId="DarkList">
    <w:name w:val="Dark List"/>
    <w:basedOn w:val="TableNormal"/>
    <w:uiPriority w:val="7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styleId="DarkList-Accent2">
    <w:name w:val="Dark List Accent 2"/>
    <w:basedOn w:val="TableNormal"/>
    <w:uiPriority w:val="7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styleId="DarkList-Accent3">
    <w:name w:val="Dark List Accent 3"/>
    <w:basedOn w:val="TableNormal"/>
    <w:uiPriority w:val="7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4">
    <w:name w:val="Dark List Accent 4"/>
    <w:basedOn w:val="TableNormal"/>
    <w:uiPriority w:val="7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styleId="DarkList-Accent5">
    <w:name w:val="Dark List Accent 5"/>
    <w:basedOn w:val="TableNormal"/>
    <w:uiPriority w:val="7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6">
    <w:name w:val="Dark List Accent 6"/>
    <w:basedOn w:val="TableNormal"/>
    <w:uiPriority w:val="7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DateChar">
    <w:name w:val="Date Char"/>
    <w:basedOn w:val="DefaultParagraphFont"/>
    <w:link w:val="Date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rsid w:val="00391EA1"/>
    <w:pPr>
      <w:spacing w:after="0" w:line="240" w:lineRule="auto"/>
      <w:jc w:val="both"/>
    </w:pPr>
    <w:rPr>
      <w:rFonts w:ascii="Tahoma" w:eastAsia="MS Mincho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1EA1"/>
    <w:rPr>
      <w:rFonts w:ascii="Tahoma" w:eastAsia="MS Mincho" w:hAnsi="Tahoma" w:cs="Times New Roman"/>
      <w:kern w:val="0"/>
      <w:sz w:val="16"/>
      <w:szCs w:val="16"/>
      <w:lang w:val="x-none" w:eastAsia="x-none"/>
      <w14:ligatures w14:val="none"/>
    </w:rPr>
  </w:style>
  <w:style w:type="paragraph" w:styleId="E-mailSignature">
    <w:name w:val="E-mail Signature"/>
    <w:basedOn w:val="Normal"/>
    <w:link w:val="E-mailSignatureChar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character" w:styleId="EndnoteReference">
    <w:name w:val="endnote reference"/>
    <w:uiPriority w:val="99"/>
    <w:semiHidden/>
    <w:rsid w:val="00391EA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0"/>
      <w:szCs w:val="20"/>
      <w:lang w:val="en-GB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1EA1"/>
    <w:rPr>
      <w:rFonts w:ascii="Times New Roman" w:eastAsia="MS Mincho" w:hAnsi="Times New Roman" w:cs="Times New Roman"/>
      <w:kern w:val="0"/>
      <w:sz w:val="20"/>
      <w:szCs w:val="20"/>
      <w:lang w:val="en-GB" w:eastAsia="x-none"/>
      <w14:ligatures w14:val="none"/>
    </w:rPr>
  </w:style>
  <w:style w:type="paragraph" w:styleId="EnvelopeAddress">
    <w:name w:val="envelope address"/>
    <w:basedOn w:val="Normal"/>
    <w:uiPriority w:val="99"/>
    <w:semiHidden/>
    <w:rsid w:val="00391EA1"/>
    <w:pPr>
      <w:framePr w:w="7938" w:h="1985" w:hRule="exact" w:hSpace="141" w:wrap="auto" w:hAnchor="page" w:xAlign="center" w:yAlign="bottom"/>
      <w:spacing w:after="0" w:line="240" w:lineRule="auto"/>
      <w:ind w:left="2835"/>
      <w:jc w:val="both"/>
    </w:pPr>
    <w:rPr>
      <w:rFonts w:ascii="Times New Roman" w:eastAsia="MS Gothic" w:hAnsi="Times New Roman"/>
      <w:sz w:val="24"/>
      <w:szCs w:val="24"/>
      <w:lang w:val="en-GB"/>
    </w:rPr>
  </w:style>
  <w:style w:type="paragraph" w:styleId="EnvelopeReturn">
    <w:name w:val="envelope return"/>
    <w:basedOn w:val="Normal"/>
    <w:uiPriority w:val="99"/>
    <w:semiHidden/>
    <w:rsid w:val="00391EA1"/>
    <w:pPr>
      <w:spacing w:after="0" w:line="240" w:lineRule="auto"/>
      <w:jc w:val="both"/>
    </w:pPr>
    <w:rPr>
      <w:rFonts w:ascii="Times New Roman" w:eastAsia="MS Gothic" w:hAnsi="Times New Roman"/>
      <w:sz w:val="20"/>
      <w:szCs w:val="20"/>
      <w:lang w:val="en-GB"/>
    </w:rPr>
  </w:style>
  <w:style w:type="character" w:styleId="FollowedHyperlink">
    <w:name w:val="FollowedHyperlink"/>
    <w:uiPriority w:val="99"/>
    <w:semiHidden/>
    <w:rsid w:val="00391EA1"/>
    <w:rPr>
      <w:color w:val="7030A0"/>
      <w:u w:val="single"/>
    </w:rPr>
  </w:style>
  <w:style w:type="character" w:styleId="HTMLAcronym">
    <w:name w:val="HTML Acronym"/>
    <w:basedOn w:val="DefaultParagraphFont"/>
    <w:uiPriority w:val="99"/>
    <w:semiHidden/>
    <w:rsid w:val="00391EA1"/>
  </w:style>
  <w:style w:type="paragraph" w:styleId="HTMLAddress">
    <w:name w:val="HTML Address"/>
    <w:basedOn w:val="Normal"/>
    <w:link w:val="HTMLAddressChar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i/>
      <w:iCs/>
      <w:sz w:val="24"/>
      <w:szCs w:val="20"/>
      <w:lang w:val="x-none" w:eastAsia="x-no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91EA1"/>
    <w:rPr>
      <w:rFonts w:ascii="Times New Roman" w:eastAsia="MS Mincho" w:hAnsi="Times New Roman" w:cs="Times New Roman"/>
      <w:i/>
      <w:iCs/>
      <w:kern w:val="0"/>
      <w:sz w:val="24"/>
      <w:szCs w:val="20"/>
      <w:lang w:val="x-none" w:eastAsia="x-none"/>
      <w14:ligatures w14:val="none"/>
    </w:rPr>
  </w:style>
  <w:style w:type="character" w:styleId="HTMLCite">
    <w:name w:val="HTML Cite"/>
    <w:uiPriority w:val="99"/>
    <w:semiHidden/>
    <w:rsid w:val="00391EA1"/>
    <w:rPr>
      <w:i/>
      <w:iCs/>
    </w:rPr>
  </w:style>
  <w:style w:type="character" w:styleId="HTMLCode">
    <w:name w:val="HTML Code"/>
    <w:uiPriority w:val="99"/>
    <w:semiHidden/>
    <w:rsid w:val="00391EA1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rsid w:val="00391EA1"/>
    <w:rPr>
      <w:i/>
      <w:iCs/>
    </w:rPr>
  </w:style>
  <w:style w:type="character" w:styleId="HTMLKeyboard">
    <w:name w:val="HTML Keyboard"/>
    <w:uiPriority w:val="99"/>
    <w:semiHidden/>
    <w:rsid w:val="00391EA1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391EA1"/>
    <w:pPr>
      <w:spacing w:after="0" w:line="240" w:lineRule="auto"/>
      <w:jc w:val="both"/>
    </w:pPr>
    <w:rPr>
      <w:rFonts w:ascii="Consolas" w:eastAsia="MS Mincho" w:hAnsi="Consolas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EA1"/>
    <w:rPr>
      <w:rFonts w:ascii="Consolas" w:eastAsia="MS Mincho" w:hAnsi="Consolas" w:cs="Times New Roman"/>
      <w:kern w:val="0"/>
      <w:sz w:val="20"/>
      <w:szCs w:val="20"/>
      <w:lang w:val="x-none" w:eastAsia="x-none"/>
      <w14:ligatures w14:val="none"/>
    </w:rPr>
  </w:style>
  <w:style w:type="character" w:styleId="HTMLSample">
    <w:name w:val="HTML Sample"/>
    <w:uiPriority w:val="99"/>
    <w:semiHidden/>
    <w:rsid w:val="00391EA1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rsid w:val="00391EA1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rsid w:val="00391EA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391EA1"/>
    <w:pPr>
      <w:spacing w:after="0" w:line="240" w:lineRule="auto"/>
      <w:ind w:left="24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2">
    <w:name w:val="index 2"/>
    <w:basedOn w:val="Normal"/>
    <w:next w:val="Normal"/>
    <w:autoRedefine/>
    <w:uiPriority w:val="99"/>
    <w:semiHidden/>
    <w:rsid w:val="00391EA1"/>
    <w:pPr>
      <w:spacing w:after="0" w:line="240" w:lineRule="auto"/>
      <w:ind w:left="48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3">
    <w:name w:val="index 3"/>
    <w:basedOn w:val="Normal"/>
    <w:next w:val="Normal"/>
    <w:autoRedefine/>
    <w:uiPriority w:val="99"/>
    <w:semiHidden/>
    <w:rsid w:val="00391EA1"/>
    <w:pPr>
      <w:spacing w:after="0" w:line="240" w:lineRule="auto"/>
      <w:ind w:left="72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4">
    <w:name w:val="index 4"/>
    <w:basedOn w:val="Normal"/>
    <w:next w:val="Normal"/>
    <w:autoRedefine/>
    <w:uiPriority w:val="99"/>
    <w:semiHidden/>
    <w:rsid w:val="00391EA1"/>
    <w:pPr>
      <w:spacing w:after="0" w:line="240" w:lineRule="auto"/>
      <w:ind w:left="96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391EA1"/>
    <w:pPr>
      <w:spacing w:after="0" w:line="240" w:lineRule="auto"/>
      <w:ind w:left="120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6">
    <w:name w:val="index 6"/>
    <w:basedOn w:val="Normal"/>
    <w:next w:val="Normal"/>
    <w:autoRedefine/>
    <w:uiPriority w:val="99"/>
    <w:semiHidden/>
    <w:rsid w:val="00391EA1"/>
    <w:pPr>
      <w:spacing w:after="0" w:line="240" w:lineRule="auto"/>
      <w:ind w:left="144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7">
    <w:name w:val="index 7"/>
    <w:basedOn w:val="Normal"/>
    <w:next w:val="Normal"/>
    <w:autoRedefine/>
    <w:uiPriority w:val="99"/>
    <w:semiHidden/>
    <w:rsid w:val="00391EA1"/>
    <w:pPr>
      <w:spacing w:after="0" w:line="240" w:lineRule="auto"/>
      <w:ind w:left="168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8">
    <w:name w:val="index 8"/>
    <w:basedOn w:val="Normal"/>
    <w:next w:val="Normal"/>
    <w:autoRedefine/>
    <w:uiPriority w:val="99"/>
    <w:semiHidden/>
    <w:rsid w:val="00391EA1"/>
    <w:pPr>
      <w:spacing w:after="0" w:line="240" w:lineRule="auto"/>
      <w:ind w:left="192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9">
    <w:name w:val="index 9"/>
    <w:basedOn w:val="Normal"/>
    <w:next w:val="Normal"/>
    <w:autoRedefine/>
    <w:uiPriority w:val="99"/>
    <w:semiHidden/>
    <w:rsid w:val="00391EA1"/>
    <w:pPr>
      <w:spacing w:after="0" w:line="240" w:lineRule="auto"/>
      <w:ind w:left="216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Heading">
    <w:name w:val="index heading"/>
    <w:basedOn w:val="Normal"/>
    <w:next w:val="Index1"/>
    <w:uiPriority w:val="99"/>
    <w:semiHidden/>
    <w:rsid w:val="00391EA1"/>
    <w:pPr>
      <w:spacing w:after="0" w:line="240" w:lineRule="auto"/>
      <w:jc w:val="both"/>
    </w:pPr>
    <w:rPr>
      <w:rFonts w:ascii="Times New Roman" w:eastAsia="MS Gothic" w:hAnsi="Times New Roman"/>
      <w:b/>
      <w:bCs/>
      <w:sz w:val="24"/>
      <w:lang w:val="en-GB"/>
    </w:rPr>
  </w:style>
  <w:style w:type="table" w:styleId="LightGrid">
    <w:name w:val="Light Grid"/>
    <w:basedOn w:val="TableNormal"/>
    <w:uiPriority w:val="62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styleId="LightGrid-Accent2">
    <w:name w:val="Light Grid Accent 2"/>
    <w:basedOn w:val="TableNormal"/>
    <w:uiPriority w:val="62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styleId="LightGrid-Accent3">
    <w:name w:val="Light Grid Accent 3"/>
    <w:basedOn w:val="TableNormal"/>
    <w:uiPriority w:val="62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4">
    <w:name w:val="Light Grid Accent 4"/>
    <w:basedOn w:val="TableNormal"/>
    <w:uiPriority w:val="62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styleId="LightGrid-Accent5">
    <w:name w:val="Light Grid Accent 5"/>
    <w:basedOn w:val="TableNormal"/>
    <w:uiPriority w:val="62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6">
    <w:name w:val="Light Grid Accent 6"/>
    <w:basedOn w:val="TableNormal"/>
    <w:uiPriority w:val="62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styleId="LightList">
    <w:name w:val="Light List"/>
    <w:basedOn w:val="TableNormal"/>
    <w:uiPriority w:val="61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styleId="LightList-Accent2">
    <w:name w:val="Light List Accent 2"/>
    <w:basedOn w:val="TableNormal"/>
    <w:uiPriority w:val="61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styleId="LightList-Accent3">
    <w:name w:val="Light List Accent 3"/>
    <w:basedOn w:val="TableNormal"/>
    <w:uiPriority w:val="61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4">
    <w:name w:val="Light List Accent 4"/>
    <w:basedOn w:val="TableNormal"/>
    <w:uiPriority w:val="61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styleId="LightList-Accent5">
    <w:name w:val="Light List Accent 5"/>
    <w:basedOn w:val="TableNormal"/>
    <w:uiPriority w:val="61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6">
    <w:name w:val="Light List Accent 6"/>
    <w:basedOn w:val="TableNormal"/>
    <w:uiPriority w:val="61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styleId="LightShading">
    <w:name w:val="Light Shading"/>
    <w:basedOn w:val="TableNormal"/>
    <w:uiPriority w:val="6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548C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styleId="LightShading-Accent2">
    <w:name w:val="Light Shading Accent 2"/>
    <w:basedOn w:val="TableNormal"/>
    <w:uiPriority w:val="60"/>
    <w:rsid w:val="00391EA1"/>
    <w:pPr>
      <w:spacing w:after="0" w:line="240" w:lineRule="auto"/>
    </w:pPr>
    <w:rPr>
      <w:rFonts w:ascii="Times New Roman" w:eastAsia="Times New Roman" w:hAnsi="Times New Roman" w:cs="Times New Roman"/>
      <w:color w:val="8F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styleId="LightShading-Accent3">
    <w:name w:val="Light Shading Accent 3"/>
    <w:basedOn w:val="TableNormal"/>
    <w:uiPriority w:val="60"/>
    <w:rsid w:val="00391EA1"/>
    <w:pPr>
      <w:spacing w:after="0" w:line="240" w:lineRule="auto"/>
    </w:pPr>
    <w:rPr>
      <w:rFonts w:ascii="Times New Roman" w:eastAsia="Times New Roman" w:hAnsi="Times New Roman" w:cs="Times New Roman"/>
      <w:color w:val="474747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4">
    <w:name w:val="Light Shading Accent 4"/>
    <w:basedOn w:val="TableNormal"/>
    <w:uiPriority w:val="60"/>
    <w:rsid w:val="00391EA1"/>
    <w:pPr>
      <w:spacing w:after="0" w:line="240" w:lineRule="auto"/>
    </w:pPr>
    <w:rPr>
      <w:rFonts w:ascii="Times New Roman" w:eastAsia="Times New Roman" w:hAnsi="Times New Roman" w:cs="Times New Roman"/>
      <w:color w:val="70707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styleId="LightShading-Accent5">
    <w:name w:val="Light Shading Accent 5"/>
    <w:basedOn w:val="TableNormal"/>
    <w:uiPriority w:val="60"/>
    <w:rsid w:val="00391EA1"/>
    <w:pPr>
      <w:spacing w:after="0" w:line="240" w:lineRule="auto"/>
    </w:pPr>
    <w:rPr>
      <w:rFonts w:ascii="Times New Roman" w:eastAsia="Times New Roman" w:hAnsi="Times New Roman" w:cs="Times New Roman"/>
      <w:color w:val="474747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6">
    <w:name w:val="Light Shading Accent 6"/>
    <w:basedOn w:val="TableNormal"/>
    <w:uiPriority w:val="60"/>
    <w:rsid w:val="00391EA1"/>
    <w:pPr>
      <w:spacing w:after="0" w:line="240" w:lineRule="auto"/>
    </w:pPr>
    <w:rPr>
      <w:rFonts w:ascii="Times New Roman" w:eastAsia="Times New Roman" w:hAnsi="Times New Roman" w:cs="Times New Roman"/>
      <w:color w:val="393939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character" w:styleId="LineNumber">
    <w:name w:val="line number"/>
    <w:basedOn w:val="DefaultParagraphFont"/>
    <w:uiPriority w:val="99"/>
    <w:semiHidden/>
    <w:rsid w:val="00391EA1"/>
  </w:style>
  <w:style w:type="paragraph" w:styleId="List">
    <w:name w:val="List"/>
    <w:basedOn w:val="Normal"/>
    <w:uiPriority w:val="99"/>
    <w:semiHidden/>
    <w:rsid w:val="00391EA1"/>
    <w:pPr>
      <w:spacing w:after="0" w:line="240" w:lineRule="auto"/>
      <w:ind w:left="283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2">
    <w:name w:val="List 2"/>
    <w:basedOn w:val="Normal"/>
    <w:uiPriority w:val="99"/>
    <w:semiHidden/>
    <w:rsid w:val="00391EA1"/>
    <w:pPr>
      <w:spacing w:after="0" w:line="240" w:lineRule="auto"/>
      <w:ind w:left="566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3">
    <w:name w:val="List 3"/>
    <w:basedOn w:val="Normal"/>
    <w:uiPriority w:val="99"/>
    <w:semiHidden/>
    <w:rsid w:val="00391EA1"/>
    <w:pPr>
      <w:spacing w:after="0" w:line="240" w:lineRule="auto"/>
      <w:ind w:left="849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4">
    <w:name w:val="List 4"/>
    <w:basedOn w:val="Normal"/>
    <w:uiPriority w:val="99"/>
    <w:semiHidden/>
    <w:rsid w:val="00391EA1"/>
    <w:pPr>
      <w:spacing w:after="0" w:line="240" w:lineRule="auto"/>
      <w:ind w:left="1132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5">
    <w:name w:val="List 5"/>
    <w:basedOn w:val="Normal"/>
    <w:uiPriority w:val="99"/>
    <w:semiHidden/>
    <w:rsid w:val="00391EA1"/>
    <w:pPr>
      <w:spacing w:after="0" w:line="240" w:lineRule="auto"/>
      <w:ind w:left="1415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Bullet2">
    <w:name w:val="List Bullet 2"/>
    <w:basedOn w:val="Normal"/>
    <w:uiPriority w:val="99"/>
    <w:semiHidden/>
    <w:rsid w:val="00391EA1"/>
    <w:pPr>
      <w:numPr>
        <w:numId w:val="7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Bullet4">
    <w:name w:val="List Bullet 4"/>
    <w:basedOn w:val="Normal"/>
    <w:uiPriority w:val="99"/>
    <w:semiHidden/>
    <w:rsid w:val="00391EA1"/>
    <w:pPr>
      <w:numPr>
        <w:numId w:val="8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Bullet5">
    <w:name w:val="List Bullet 5"/>
    <w:basedOn w:val="Normal"/>
    <w:uiPriority w:val="99"/>
    <w:semiHidden/>
    <w:rsid w:val="00391EA1"/>
    <w:pPr>
      <w:numPr>
        <w:numId w:val="9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">
    <w:name w:val="List Continue"/>
    <w:basedOn w:val="Normal"/>
    <w:uiPriority w:val="99"/>
    <w:semiHidden/>
    <w:rsid w:val="00391EA1"/>
    <w:pPr>
      <w:spacing w:after="120" w:line="240" w:lineRule="auto"/>
      <w:ind w:left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2">
    <w:name w:val="List Continue 2"/>
    <w:basedOn w:val="Normal"/>
    <w:uiPriority w:val="99"/>
    <w:semiHidden/>
    <w:rsid w:val="00391EA1"/>
    <w:pPr>
      <w:spacing w:after="120" w:line="240" w:lineRule="auto"/>
      <w:ind w:left="566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3">
    <w:name w:val="List Continue 3"/>
    <w:basedOn w:val="Normal"/>
    <w:uiPriority w:val="99"/>
    <w:semiHidden/>
    <w:rsid w:val="00391EA1"/>
    <w:pPr>
      <w:spacing w:after="120" w:line="240" w:lineRule="auto"/>
      <w:ind w:left="849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4">
    <w:name w:val="List Continue 4"/>
    <w:basedOn w:val="Normal"/>
    <w:uiPriority w:val="99"/>
    <w:semiHidden/>
    <w:rsid w:val="00391EA1"/>
    <w:pPr>
      <w:spacing w:after="120" w:line="240" w:lineRule="auto"/>
      <w:ind w:left="1132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5">
    <w:name w:val="List Continue 5"/>
    <w:basedOn w:val="Normal"/>
    <w:uiPriority w:val="99"/>
    <w:semiHidden/>
    <w:rsid w:val="00391EA1"/>
    <w:pPr>
      <w:spacing w:after="120" w:line="240" w:lineRule="auto"/>
      <w:ind w:left="1415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">
    <w:name w:val="List Number"/>
    <w:basedOn w:val="Normal"/>
    <w:uiPriority w:val="99"/>
    <w:semiHidden/>
    <w:rsid w:val="00391EA1"/>
    <w:pPr>
      <w:numPr>
        <w:numId w:val="10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2">
    <w:name w:val="List Number 2"/>
    <w:basedOn w:val="Normal"/>
    <w:uiPriority w:val="99"/>
    <w:semiHidden/>
    <w:rsid w:val="00391EA1"/>
    <w:pPr>
      <w:numPr>
        <w:numId w:val="11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3">
    <w:name w:val="List Number 3"/>
    <w:basedOn w:val="Normal"/>
    <w:uiPriority w:val="99"/>
    <w:semiHidden/>
    <w:rsid w:val="00391EA1"/>
    <w:pPr>
      <w:numPr>
        <w:numId w:val="12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4">
    <w:name w:val="List Number 4"/>
    <w:basedOn w:val="Normal"/>
    <w:uiPriority w:val="99"/>
    <w:semiHidden/>
    <w:rsid w:val="00391EA1"/>
    <w:pPr>
      <w:numPr>
        <w:numId w:val="13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5">
    <w:name w:val="List Number 5"/>
    <w:basedOn w:val="Normal"/>
    <w:uiPriority w:val="99"/>
    <w:semiHidden/>
    <w:rsid w:val="00391EA1"/>
    <w:pPr>
      <w:numPr>
        <w:numId w:val="14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MacroText">
    <w:name w:val="macro"/>
    <w:link w:val="MacroTextChar"/>
    <w:uiPriority w:val="99"/>
    <w:semiHidden/>
    <w:rsid w:val="00391E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MS Mincho" w:hAnsi="Consolas" w:cs="Consolas"/>
      <w:kern w:val="0"/>
      <w:sz w:val="20"/>
      <w:szCs w:val="20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1EA1"/>
    <w:rPr>
      <w:rFonts w:ascii="Consolas" w:eastAsia="MS Mincho" w:hAnsi="Consolas" w:cs="Consolas"/>
      <w:kern w:val="0"/>
      <w:sz w:val="20"/>
      <w:szCs w:val="20"/>
      <w14:ligatures w14:val="none"/>
    </w:rPr>
  </w:style>
  <w:style w:type="table" w:styleId="MediumGrid1">
    <w:name w:val="Medium Grid 1"/>
    <w:basedOn w:val="TableNormal"/>
    <w:uiPriority w:val="67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MediumGrid1-Accent2">
    <w:name w:val="Medium Grid 1 Accent 2"/>
    <w:basedOn w:val="TableNormal"/>
    <w:uiPriority w:val="67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MediumGrid1-Accent3">
    <w:name w:val="Medium Grid 1 Accent 3"/>
    <w:basedOn w:val="TableNormal"/>
    <w:uiPriority w:val="67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4">
    <w:name w:val="Medium Grid 1 Accent 4"/>
    <w:basedOn w:val="TableNormal"/>
    <w:uiPriority w:val="67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MediumGrid1-Accent5">
    <w:name w:val="Medium Grid 1 Accent 5"/>
    <w:basedOn w:val="TableNormal"/>
    <w:uiPriority w:val="67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6">
    <w:name w:val="Medium Grid 1 Accent 6"/>
    <w:basedOn w:val="TableNormal"/>
    <w:uiPriority w:val="67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MediumGrid2">
    <w:name w:val="Medium Grid 2"/>
    <w:basedOn w:val="TableNormal"/>
    <w:uiPriority w:val="68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styleId="MediumGrid2-Accent1">
    <w:name w:val="Medium Grid 2 Accent 1"/>
    <w:basedOn w:val="TableNormal"/>
    <w:uiPriority w:val="68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styleId="MediumGrid2-Accent2">
    <w:name w:val="Medium Grid 2 Accent 2"/>
    <w:basedOn w:val="TableNormal"/>
    <w:uiPriority w:val="68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styleId="MediumGrid2-Accent3">
    <w:name w:val="Medium Grid 2 Accent 3"/>
    <w:basedOn w:val="TableNormal"/>
    <w:uiPriority w:val="68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4">
    <w:name w:val="Medium Grid 2 Accent 4"/>
    <w:basedOn w:val="TableNormal"/>
    <w:uiPriority w:val="68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styleId="MediumGrid2-Accent5">
    <w:name w:val="Medium Grid 2 Accent 5"/>
    <w:basedOn w:val="TableNormal"/>
    <w:uiPriority w:val="68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6">
    <w:name w:val="Medium Grid 2 Accent 6"/>
    <w:basedOn w:val="TableNormal"/>
    <w:uiPriority w:val="68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styleId="MediumGrid3">
    <w:name w:val="Medium Grid 3"/>
    <w:basedOn w:val="TableNormal"/>
    <w:uiPriority w:val="6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styleId="MediumGrid3-Accent2">
    <w:name w:val="Medium Grid 3 Accent 2"/>
    <w:basedOn w:val="TableNormal"/>
    <w:uiPriority w:val="6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styleId="MediumGrid3-Accent3">
    <w:name w:val="Medium Grid 3 Accent 3"/>
    <w:basedOn w:val="TableNormal"/>
    <w:uiPriority w:val="6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4">
    <w:name w:val="Medium Grid 3 Accent 4"/>
    <w:basedOn w:val="TableNormal"/>
    <w:uiPriority w:val="6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styleId="MediumGrid3-Accent5">
    <w:name w:val="Medium Grid 3 Accent 5"/>
    <w:basedOn w:val="TableNormal"/>
    <w:uiPriority w:val="6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6">
    <w:name w:val="Medium Grid 3 Accent 6"/>
    <w:basedOn w:val="TableNormal"/>
    <w:uiPriority w:val="6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styleId="MediumList1">
    <w:name w:val="Medium List 1"/>
    <w:basedOn w:val="TableNormal"/>
    <w:uiPriority w:val="65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styleId="MediumList1-Accent2">
    <w:name w:val="Medium List 1 Accent 2"/>
    <w:basedOn w:val="TableNormal"/>
    <w:uiPriority w:val="65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styleId="MediumList1-Accent3">
    <w:name w:val="Medium List 1 Accent 3"/>
    <w:basedOn w:val="TableNormal"/>
    <w:uiPriority w:val="65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4">
    <w:name w:val="Medium List 1 Accent 4"/>
    <w:basedOn w:val="TableNormal"/>
    <w:uiPriority w:val="65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styleId="MediumList1-Accent5">
    <w:name w:val="Medium List 1 Accent 5"/>
    <w:basedOn w:val="TableNormal"/>
    <w:uiPriority w:val="65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6">
    <w:name w:val="Medium List 1 Accent 6"/>
    <w:basedOn w:val="TableNormal"/>
    <w:uiPriority w:val="65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styleId="MediumList2">
    <w:name w:val="Medium List 2"/>
    <w:basedOn w:val="TableNormal"/>
    <w:uiPriority w:val="66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391E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Times New Roman" w:eastAsia="MS Gothic" w:hAnsi="Times New Roman"/>
      <w:sz w:val="24"/>
      <w:szCs w:val="24"/>
      <w:lang w:val="x-none" w:eastAsia="x-none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1EA1"/>
    <w:rPr>
      <w:rFonts w:ascii="Times New Roman" w:eastAsia="MS Gothic" w:hAnsi="Times New Roman" w:cs="Times New Roman"/>
      <w:kern w:val="0"/>
      <w:sz w:val="24"/>
      <w:szCs w:val="24"/>
      <w:shd w:val="pct20" w:color="auto" w:fill="auto"/>
      <w:lang w:val="x-none" w:eastAsia="x-none"/>
      <w14:ligatures w14:val="none"/>
    </w:rPr>
  </w:style>
  <w:style w:type="paragraph" w:styleId="NormalWeb">
    <w:name w:val="Normal (Web)"/>
    <w:basedOn w:val="Normal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val="en-GB"/>
    </w:rPr>
  </w:style>
  <w:style w:type="paragraph" w:styleId="NormalIndent">
    <w:name w:val="Normal Indent"/>
    <w:basedOn w:val="Normal"/>
    <w:uiPriority w:val="99"/>
    <w:semiHidden/>
    <w:rsid w:val="00391EA1"/>
    <w:pPr>
      <w:spacing w:after="0" w:line="240" w:lineRule="auto"/>
      <w:ind w:left="720"/>
      <w:jc w:val="both"/>
    </w:pPr>
    <w:rPr>
      <w:rFonts w:ascii="Times New Roman" w:eastAsia="MS Mincho" w:hAnsi="Times New Roman"/>
      <w:sz w:val="24"/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character" w:styleId="PlaceholderText">
    <w:name w:val="Placeholder Text"/>
    <w:uiPriority w:val="99"/>
    <w:semiHidden/>
    <w:rsid w:val="00391EA1"/>
    <w:rPr>
      <w:color w:val="auto"/>
      <w:bdr w:val="none" w:sz="0" w:space="0" w:color="auto"/>
      <w:shd w:val="clear" w:color="auto" w:fill="DFDFDF"/>
    </w:rPr>
  </w:style>
  <w:style w:type="paragraph" w:styleId="PlainText">
    <w:name w:val="Plain Text"/>
    <w:basedOn w:val="Normal"/>
    <w:link w:val="PlainTextChar"/>
    <w:uiPriority w:val="99"/>
    <w:semiHidden/>
    <w:rsid w:val="00391EA1"/>
    <w:pPr>
      <w:spacing w:after="0" w:line="240" w:lineRule="auto"/>
      <w:jc w:val="both"/>
    </w:pPr>
    <w:rPr>
      <w:rFonts w:ascii="Consolas" w:eastAsia="MS Mincho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1EA1"/>
    <w:rPr>
      <w:rFonts w:ascii="Consolas" w:eastAsia="MS Mincho" w:hAnsi="Consolas" w:cs="Times New Roman"/>
      <w:kern w:val="0"/>
      <w:sz w:val="21"/>
      <w:szCs w:val="21"/>
      <w:lang w:val="x-none" w:eastAsia="x-none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Signature">
    <w:name w:val="Signature"/>
    <w:basedOn w:val="Normal"/>
    <w:link w:val="SignatureChar"/>
    <w:uiPriority w:val="99"/>
    <w:semiHidden/>
    <w:rsid w:val="00391EA1"/>
    <w:pPr>
      <w:spacing w:after="0" w:line="240" w:lineRule="auto"/>
      <w:ind w:left="4252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table" w:styleId="Table3Deffects1">
    <w:name w:val="Table 3D effects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/>
      <w:kern w:val="0"/>
      <w:sz w:val="20"/>
      <w:szCs w:val="20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391EA1"/>
    <w:pPr>
      <w:spacing w:after="0" w:line="240" w:lineRule="auto"/>
      <w:ind w:left="24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TableofFigures">
    <w:name w:val="table of figures"/>
    <w:basedOn w:val="Normal"/>
    <w:next w:val="Normal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4"/>
      <w:lang w:val="en-GB"/>
    </w:rPr>
  </w:style>
  <w:style w:type="table" w:styleId="TableProfessional">
    <w:name w:val="Table Professional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391EA1"/>
    <w:pPr>
      <w:tabs>
        <w:tab w:val="right" w:leader="dot" w:pos="7371"/>
      </w:tabs>
      <w:spacing w:after="60" w:line="240" w:lineRule="exact"/>
      <w:ind w:left="2041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7">
    <w:name w:val="toc 7"/>
    <w:basedOn w:val="Normal"/>
    <w:next w:val="Normal"/>
    <w:autoRedefine/>
    <w:uiPriority w:val="99"/>
    <w:semiHidden/>
    <w:rsid w:val="00391EA1"/>
    <w:pPr>
      <w:tabs>
        <w:tab w:val="right" w:leader="dot" w:pos="7371"/>
      </w:tabs>
      <w:spacing w:after="60" w:line="240" w:lineRule="exact"/>
      <w:ind w:left="2381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8">
    <w:name w:val="toc 8"/>
    <w:basedOn w:val="Normal"/>
    <w:next w:val="Normal"/>
    <w:autoRedefine/>
    <w:uiPriority w:val="99"/>
    <w:semiHidden/>
    <w:rsid w:val="00391EA1"/>
    <w:pPr>
      <w:spacing w:after="100" w:line="240" w:lineRule="auto"/>
      <w:ind w:left="1680"/>
      <w:jc w:val="both"/>
    </w:pPr>
    <w:rPr>
      <w:rFonts w:ascii="Times New Roman" w:eastAsia="MS Mincho" w:hAnsi="Times New Roman"/>
      <w:sz w:val="24"/>
      <w:lang w:val="en-GB"/>
    </w:rPr>
  </w:style>
  <w:style w:type="paragraph" w:styleId="TOC9">
    <w:name w:val="toc 9"/>
    <w:basedOn w:val="Normal"/>
    <w:next w:val="Normal"/>
    <w:autoRedefine/>
    <w:uiPriority w:val="99"/>
    <w:semiHidden/>
    <w:rsid w:val="00391EA1"/>
    <w:pPr>
      <w:spacing w:after="100" w:line="240" w:lineRule="auto"/>
      <w:ind w:left="1920"/>
      <w:jc w:val="both"/>
    </w:pPr>
    <w:rPr>
      <w:rFonts w:ascii="Times New Roman" w:eastAsia="MS Mincho" w:hAnsi="Times New Roman"/>
      <w:sz w:val="24"/>
      <w:lang w:val="en-GB"/>
    </w:rPr>
  </w:style>
  <w:style w:type="paragraph" w:customStyle="1" w:styleId="OpiPara">
    <w:name w:val="Opi_Para"/>
    <w:basedOn w:val="ECHRPara"/>
    <w:uiPriority w:val="46"/>
    <w:qFormat/>
    <w:rsid w:val="00391EA1"/>
  </w:style>
  <w:style w:type="paragraph" w:customStyle="1" w:styleId="OpiParaSub">
    <w:name w:val="Opi_Para_Sub"/>
    <w:basedOn w:val="JuParaSub"/>
    <w:uiPriority w:val="47"/>
    <w:qFormat/>
    <w:rsid w:val="00391EA1"/>
  </w:style>
  <w:style w:type="paragraph" w:customStyle="1" w:styleId="ECHRFooter">
    <w:name w:val="ECHR_Footer"/>
    <w:aliases w:val="Footer_ECHR"/>
    <w:basedOn w:val="Footer"/>
    <w:uiPriority w:val="57"/>
    <w:semiHidden/>
    <w:rsid w:val="00391EA1"/>
    <w:pPr>
      <w:tabs>
        <w:tab w:val="clear" w:pos="4513"/>
        <w:tab w:val="clear" w:pos="9026"/>
        <w:tab w:val="center" w:pos="4536"/>
        <w:tab w:val="right" w:pos="9696"/>
      </w:tabs>
      <w:ind w:left="-680" w:right="-680"/>
    </w:pPr>
    <w:rPr>
      <w:rFonts w:ascii="Times New Roman" w:hAnsi="Times New Roman"/>
      <w:sz w:val="8"/>
      <w:lang w:eastAsia="x-none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391EA1"/>
    <w:pPr>
      <w:pBdr>
        <w:top w:val="single" w:sz="6" w:space="1" w:color="5F5F5F"/>
      </w:pBdr>
      <w:tabs>
        <w:tab w:val="center" w:pos="4536"/>
        <w:tab w:val="right" w:pos="9696"/>
      </w:tabs>
      <w:spacing w:after="0" w:line="240" w:lineRule="auto"/>
      <w:ind w:left="-680" w:right="-680"/>
    </w:pPr>
    <w:rPr>
      <w:rFonts w:ascii="Times New Roman" w:eastAsia="MS Mincho" w:hAnsi="Times New Roman"/>
      <w:color w:val="5F5F5F"/>
      <w:sz w:val="24"/>
      <w:lang w:val="en-GB"/>
    </w:rPr>
  </w:style>
  <w:style w:type="paragraph" w:customStyle="1" w:styleId="ECHRTitleCentre2">
    <w:name w:val="ECHR_Title_Centre_2"/>
    <w:aliases w:val="Dec_H_Case"/>
    <w:basedOn w:val="Normal"/>
    <w:next w:val="ECHRPara"/>
    <w:uiPriority w:val="8"/>
    <w:semiHidden/>
    <w:qFormat/>
    <w:rsid w:val="00391EA1"/>
    <w:pPr>
      <w:spacing w:after="240" w:line="240" w:lineRule="auto"/>
      <w:jc w:val="center"/>
      <w:outlineLvl w:val="0"/>
    </w:pPr>
    <w:rPr>
      <w:rFonts w:ascii="Times New Roman" w:eastAsia="MS Mincho" w:hAnsi="Times New Roman"/>
      <w:sz w:val="24"/>
      <w:lang w:val="en-GB"/>
    </w:rPr>
  </w:style>
  <w:style w:type="paragraph" w:customStyle="1" w:styleId="OpiQuot">
    <w:name w:val="Opi_Quot"/>
    <w:basedOn w:val="ECHRParaQuote"/>
    <w:uiPriority w:val="48"/>
    <w:qFormat/>
    <w:rsid w:val="00391EA1"/>
  </w:style>
  <w:style w:type="paragraph" w:customStyle="1" w:styleId="OpiQuotSub">
    <w:name w:val="Opi_Quot_Sub"/>
    <w:basedOn w:val="JuQuotSub"/>
    <w:uiPriority w:val="49"/>
    <w:qFormat/>
    <w:rsid w:val="00391EA1"/>
  </w:style>
  <w:style w:type="paragraph" w:customStyle="1" w:styleId="OpiTranslation">
    <w:name w:val="Opi_Translation"/>
    <w:basedOn w:val="Normal"/>
    <w:next w:val="OpiPara"/>
    <w:uiPriority w:val="40"/>
    <w:qFormat/>
    <w:rsid w:val="00391EA1"/>
    <w:pPr>
      <w:spacing w:after="0" w:line="240" w:lineRule="auto"/>
      <w:jc w:val="center"/>
      <w:outlineLvl w:val="0"/>
    </w:pPr>
    <w:rPr>
      <w:rFonts w:ascii="Times New Roman" w:eastAsia="MS Mincho" w:hAnsi="Times New Roman"/>
      <w:i/>
      <w:sz w:val="24"/>
      <w:lang w:val="en-GB"/>
    </w:rPr>
  </w:style>
  <w:style w:type="character" w:customStyle="1" w:styleId="ECHRParaChar">
    <w:name w:val="ECHR_Para Char"/>
    <w:aliases w:val="Ju_Para Char"/>
    <w:link w:val="ECHRPara"/>
    <w:uiPriority w:val="12"/>
    <w:rsid w:val="00391EA1"/>
    <w:rPr>
      <w:rFonts w:ascii="Times New Roman" w:eastAsia="MS Mincho" w:hAnsi="Times New Roman" w:cs="Times New Roman"/>
      <w:kern w:val="0"/>
      <w:sz w:val="24"/>
      <w:szCs w:val="20"/>
      <w:lang w:val="en-GB" w:eastAsia="x-none"/>
      <w14:ligatures w14:val="none"/>
    </w:rPr>
  </w:style>
  <w:style w:type="paragraph" w:customStyle="1" w:styleId="jupara">
    <w:name w:val="jupara"/>
    <w:basedOn w:val="Normal"/>
    <w:rsid w:val="00391EA1"/>
    <w:pPr>
      <w:spacing w:after="0" w:line="240" w:lineRule="auto"/>
      <w:ind w:firstLine="284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jucase0">
    <w:name w:val="jucase"/>
    <w:basedOn w:val="Normal"/>
    <w:rsid w:val="00391EA1"/>
    <w:pPr>
      <w:spacing w:after="0" w:line="240" w:lineRule="auto"/>
      <w:ind w:firstLine="284"/>
      <w:jc w:val="both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p1">
    <w:name w:val="x_p1"/>
    <w:basedOn w:val="Normal"/>
    <w:rsid w:val="00391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s1">
    <w:name w:val="x_s1"/>
    <w:rsid w:val="00391EA1"/>
  </w:style>
  <w:style w:type="paragraph" w:customStyle="1" w:styleId="xp2">
    <w:name w:val="x_p2"/>
    <w:basedOn w:val="Normal"/>
    <w:rsid w:val="00391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s2">
    <w:name w:val="x_s2"/>
    <w:rsid w:val="00391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74A8EA61FCA34B478C76210A9E69A023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11674-17</Nr_x002e__x0020_akti>
    <Data_x0020_e_x0020_Krijimit xmlns="0e656187-b300-4fb0-8bf4-3a50f872073c">2023-11-09T09:58:22Z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2023-11-07T23:00:00Z</Date_x0020_protokolli>
    <Titulli xmlns="0e656187-b300-4fb0-8bf4-3a50f872073c">Çështja Sokol Gazulli kundër Shqipërisë (Kërkesa nr. 11674/17)</Titulli>
    <Modifikuesi xmlns="0e656187-b300-4fb0-8bf4-3a50f872073c">Fjora.Cahani</Modifikuesi>
    <Nr_x002e__x0020_prot_x0020_QBZ xmlns="0e656187-b300-4fb0-8bf4-3a50f872073c">1658/1</Nr_x002e__x0020_prot_x0020_QBZ>
    <Data_x0020_e_x0020_Modifikimit xmlns="0e656187-b300-4fb0-8bf4-3a50f872073c">2023-11-10T11:23:49Z</Data_x0020_e_x0020_Modifikimit>
    <Dekretuar xmlns="0e656187-b300-4fb0-8bf4-3a50f872073c">false</Dekretuar>
    <Data xmlns="0e656187-b300-4fb0-8bf4-3a50f872073c">2023-10-04T22:00:00Z</Data>
    <Nr_x002e__x0020_protokolli_x0020_i_x0020_aktit xmlns="0e656187-b300-4fb0-8bf4-3a50f872073c">6033/1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BCCE5-5476-4409-BC17-DAFC48B06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E41D540-8815-4C78-9540-C7C0D6B91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B8EBB-74A0-490E-8D85-478520A23516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4.xml><?xml version="1.0" encoding="utf-8"?>
<ds:datastoreItem xmlns:ds="http://schemas.openxmlformats.org/officeDocument/2006/customXml" ds:itemID="{CCEA10DA-8E40-4BEA-84B4-8E263AED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Çështja Sokol Gazulli kundër Shqipërisë (Kërkesa nr. 11674/17)</vt:lpstr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Çështja Sokol Gazulli kundër Shqipërisë (Kërkesa nr. 11674/17)</dc:title>
  <dc:creator>Mirela Prifti</dc:creator>
  <cp:lastModifiedBy>Jonida Zaharia</cp:lastModifiedBy>
  <cp:revision>2</cp:revision>
  <dcterms:created xsi:type="dcterms:W3CDTF">2024-06-07T11:14:00Z</dcterms:created>
  <dcterms:modified xsi:type="dcterms:W3CDTF">2024-06-07T11:14:00Z</dcterms:modified>
</cp:coreProperties>
</file>