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D6C3D" w14:textId="33EBD5F6" w:rsidR="00F67B84" w:rsidRPr="00520DB5" w:rsidRDefault="00F67B84" w:rsidP="00F67B84">
      <w:pPr>
        <w:tabs>
          <w:tab w:val="left" w:pos="5520"/>
        </w:tabs>
        <w:autoSpaceDE w:val="0"/>
        <w:autoSpaceDN w:val="0"/>
        <w:adjustRightInd w:val="0"/>
        <w:spacing w:after="0" w:line="240" w:lineRule="auto"/>
        <w:ind w:firstLine="284"/>
        <w:jc w:val="center"/>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GJYKATA </w:t>
      </w:r>
      <w:r w:rsidR="00716787" w:rsidRPr="00520DB5">
        <w:rPr>
          <w:rFonts w:ascii="Garamond" w:hAnsi="Garamond" w:cs="Times New Roman"/>
          <w:color w:val="000000"/>
          <w:sz w:val="24"/>
          <w:szCs w:val="24"/>
          <w:lang w:val="sq-AL"/>
        </w:rPr>
        <w:t>EVROPIANE</w:t>
      </w:r>
      <w:r w:rsidRPr="00520DB5">
        <w:rPr>
          <w:rFonts w:ascii="Garamond" w:hAnsi="Garamond" w:cs="Times New Roman"/>
          <w:color w:val="000000"/>
          <w:sz w:val="24"/>
          <w:szCs w:val="24"/>
          <w:lang w:val="sq-AL"/>
        </w:rPr>
        <w:t xml:space="preserve"> PËR TË DREJTAT </w:t>
      </w:r>
      <w:proofErr w:type="spellStart"/>
      <w:r w:rsidRPr="00520DB5">
        <w:rPr>
          <w:rFonts w:ascii="Garamond" w:hAnsi="Garamond" w:cs="Times New Roman"/>
          <w:color w:val="000000"/>
          <w:sz w:val="24"/>
          <w:szCs w:val="24"/>
          <w:lang w:val="sq-AL"/>
        </w:rPr>
        <w:t>E</w:t>
      </w:r>
      <w:r w:rsidR="00716787">
        <w:rPr>
          <w:rFonts w:ascii="Garamond" w:hAnsi="Garamond" w:cs="Times New Roman"/>
          <w:color w:val="000000"/>
          <w:sz w:val="24"/>
          <w:szCs w:val="24"/>
          <w:lang w:val="sq-AL"/>
        </w:rPr>
        <w:t xml:space="preserve"> </w:t>
      </w:r>
      <w:r w:rsidRPr="00520DB5">
        <w:rPr>
          <w:rFonts w:ascii="Garamond" w:hAnsi="Garamond" w:cs="Times New Roman"/>
          <w:color w:val="000000"/>
          <w:sz w:val="24"/>
          <w:szCs w:val="24"/>
          <w:lang w:val="sq-AL"/>
        </w:rPr>
        <w:t>NJERIU</w:t>
      </w:r>
      <w:proofErr w:type="spellEnd"/>
      <w:r w:rsidRPr="00520DB5">
        <w:rPr>
          <w:rFonts w:ascii="Garamond" w:hAnsi="Garamond" w:cs="Times New Roman"/>
          <w:color w:val="000000"/>
          <w:sz w:val="24"/>
          <w:szCs w:val="24"/>
          <w:lang w:val="sq-AL"/>
        </w:rPr>
        <w:t>T</w:t>
      </w:r>
    </w:p>
    <w:p w14:paraId="6B9DA85A" w14:textId="77777777" w:rsidR="00553425" w:rsidRPr="00520DB5" w:rsidRDefault="00553425" w:rsidP="00F67B84">
      <w:pPr>
        <w:tabs>
          <w:tab w:val="left" w:pos="5520"/>
        </w:tabs>
        <w:autoSpaceDE w:val="0"/>
        <w:autoSpaceDN w:val="0"/>
        <w:adjustRightInd w:val="0"/>
        <w:spacing w:after="0" w:line="240" w:lineRule="auto"/>
        <w:ind w:firstLine="284"/>
        <w:jc w:val="center"/>
        <w:rPr>
          <w:rFonts w:ascii="Garamond" w:hAnsi="Garamond" w:cs="Times New Roman"/>
          <w:color w:val="000000"/>
          <w:sz w:val="24"/>
          <w:szCs w:val="24"/>
          <w:lang w:val="sq-AL"/>
        </w:rPr>
      </w:pPr>
      <w:r w:rsidRPr="00520DB5">
        <w:rPr>
          <w:rFonts w:ascii="Garamond" w:hAnsi="Garamond" w:cs="Times New Roman"/>
          <w:color w:val="000000"/>
          <w:sz w:val="24"/>
          <w:szCs w:val="24"/>
          <w:lang w:val="sq-AL"/>
        </w:rPr>
        <w:t>SEKSIONI I TRETË</w:t>
      </w:r>
    </w:p>
    <w:p w14:paraId="151F1A89" w14:textId="77777777" w:rsidR="00F67B84" w:rsidRPr="00520DB5" w:rsidRDefault="00F67B84" w:rsidP="00F67B84">
      <w:pPr>
        <w:autoSpaceDE w:val="0"/>
        <w:autoSpaceDN w:val="0"/>
        <w:adjustRightInd w:val="0"/>
        <w:spacing w:after="0" w:line="240" w:lineRule="auto"/>
        <w:ind w:firstLine="284"/>
        <w:jc w:val="center"/>
        <w:rPr>
          <w:rFonts w:ascii="Garamond" w:hAnsi="Garamond" w:cs="Times New Roman"/>
          <w:color w:val="000000"/>
          <w:sz w:val="24"/>
          <w:szCs w:val="24"/>
          <w:lang w:val="sq-AL"/>
        </w:rPr>
      </w:pPr>
    </w:p>
    <w:p w14:paraId="1A5087D3" w14:textId="7F450007" w:rsidR="00553425" w:rsidRPr="00520DB5" w:rsidRDefault="00553425" w:rsidP="00F67B84">
      <w:pPr>
        <w:autoSpaceDE w:val="0"/>
        <w:autoSpaceDN w:val="0"/>
        <w:adjustRightInd w:val="0"/>
        <w:spacing w:after="0" w:line="240" w:lineRule="auto"/>
        <w:ind w:firstLine="284"/>
        <w:jc w:val="center"/>
        <w:rPr>
          <w:rFonts w:ascii="Garamond" w:hAnsi="Garamond" w:cs="Times New Roman"/>
          <w:b/>
          <w:color w:val="000000"/>
          <w:sz w:val="24"/>
          <w:szCs w:val="24"/>
          <w:lang w:val="sq-AL"/>
        </w:rPr>
      </w:pPr>
      <w:r w:rsidRPr="00520DB5">
        <w:rPr>
          <w:rFonts w:ascii="Garamond" w:hAnsi="Garamond" w:cs="Times New Roman"/>
          <w:b/>
          <w:color w:val="000000"/>
          <w:sz w:val="24"/>
          <w:szCs w:val="24"/>
          <w:lang w:val="sq-AL"/>
        </w:rPr>
        <w:t>VENDIM</w:t>
      </w:r>
    </w:p>
    <w:p w14:paraId="1E775856" w14:textId="77777777" w:rsidR="00553425" w:rsidRPr="00520DB5" w:rsidRDefault="00553425" w:rsidP="00F67B84">
      <w:pPr>
        <w:autoSpaceDE w:val="0"/>
        <w:autoSpaceDN w:val="0"/>
        <w:adjustRightInd w:val="0"/>
        <w:spacing w:after="0" w:line="240" w:lineRule="auto"/>
        <w:ind w:firstLine="284"/>
        <w:jc w:val="both"/>
        <w:rPr>
          <w:rFonts w:ascii="Garamond" w:hAnsi="Garamond" w:cs="Times New Roman"/>
          <w:b/>
          <w:color w:val="000000"/>
          <w:sz w:val="24"/>
          <w:szCs w:val="24"/>
          <w:lang w:val="sq-AL"/>
        </w:rPr>
      </w:pPr>
    </w:p>
    <w:p w14:paraId="638494EF" w14:textId="77777777" w:rsidR="00553425" w:rsidRPr="00520DB5" w:rsidRDefault="00553425" w:rsidP="00F67B84">
      <w:pPr>
        <w:autoSpaceDE w:val="0"/>
        <w:autoSpaceDN w:val="0"/>
        <w:adjustRightInd w:val="0"/>
        <w:spacing w:after="0" w:line="240" w:lineRule="auto"/>
        <w:ind w:firstLine="284"/>
        <w:jc w:val="center"/>
        <w:rPr>
          <w:rFonts w:ascii="Garamond" w:hAnsi="Garamond" w:cs="Times New Roman"/>
          <w:b/>
          <w:color w:val="000000"/>
          <w:sz w:val="24"/>
          <w:szCs w:val="24"/>
          <w:lang w:val="sq-AL"/>
        </w:rPr>
      </w:pPr>
      <w:r w:rsidRPr="00520DB5">
        <w:rPr>
          <w:rFonts w:ascii="Garamond" w:hAnsi="Garamond" w:cs="Times New Roman"/>
          <w:b/>
          <w:color w:val="000000"/>
          <w:sz w:val="24"/>
          <w:szCs w:val="24"/>
          <w:lang w:val="sq-AL"/>
        </w:rPr>
        <w:t>Kërkesa nr. 47108/08</w:t>
      </w:r>
    </w:p>
    <w:p w14:paraId="70528FC7" w14:textId="0250585E" w:rsidR="00553425" w:rsidRPr="00520DB5" w:rsidRDefault="0052648E" w:rsidP="00F67B84">
      <w:pPr>
        <w:autoSpaceDE w:val="0"/>
        <w:autoSpaceDN w:val="0"/>
        <w:adjustRightInd w:val="0"/>
        <w:spacing w:after="0" w:line="240" w:lineRule="auto"/>
        <w:ind w:firstLine="284"/>
        <w:jc w:val="center"/>
        <w:rPr>
          <w:rFonts w:ascii="Garamond" w:hAnsi="Garamond" w:cs="Times New Roman"/>
          <w:b/>
          <w:color w:val="000000"/>
          <w:sz w:val="24"/>
          <w:szCs w:val="24"/>
          <w:lang w:val="sq-AL"/>
        </w:rPr>
      </w:pPr>
      <w:proofErr w:type="spellStart"/>
      <w:r w:rsidRPr="00520DB5">
        <w:rPr>
          <w:rFonts w:ascii="Garamond" w:hAnsi="Garamond" w:cs="Times New Roman"/>
          <w:b/>
          <w:color w:val="000000"/>
          <w:sz w:val="24"/>
          <w:szCs w:val="24"/>
          <w:lang w:val="sq-AL"/>
        </w:rPr>
        <w:t>Alba</w:t>
      </w:r>
      <w:proofErr w:type="spellEnd"/>
      <w:r w:rsidRPr="00520DB5">
        <w:rPr>
          <w:rFonts w:ascii="Garamond" w:hAnsi="Garamond" w:cs="Times New Roman"/>
          <w:b/>
          <w:color w:val="000000"/>
          <w:sz w:val="24"/>
          <w:szCs w:val="24"/>
          <w:lang w:val="sq-AL"/>
        </w:rPr>
        <w:t xml:space="preserve"> </w:t>
      </w:r>
      <w:proofErr w:type="spellStart"/>
      <w:r w:rsidRPr="00520DB5">
        <w:rPr>
          <w:rFonts w:ascii="Garamond" w:hAnsi="Garamond" w:cs="Times New Roman"/>
          <w:b/>
          <w:color w:val="000000"/>
          <w:sz w:val="24"/>
          <w:szCs w:val="24"/>
          <w:lang w:val="sq-AL"/>
        </w:rPr>
        <w:t>Games</w:t>
      </w:r>
      <w:proofErr w:type="spellEnd"/>
      <w:r w:rsidRPr="00520DB5">
        <w:rPr>
          <w:rFonts w:ascii="Garamond" w:hAnsi="Garamond" w:cs="Times New Roman"/>
          <w:b/>
          <w:color w:val="000000"/>
          <w:sz w:val="24"/>
          <w:szCs w:val="24"/>
          <w:lang w:val="sq-AL"/>
        </w:rPr>
        <w:t xml:space="preserve"> </w:t>
      </w:r>
      <w:r w:rsidR="00553425" w:rsidRPr="00520DB5">
        <w:rPr>
          <w:rFonts w:ascii="Garamond" w:hAnsi="Garamond" w:cs="Times New Roman"/>
          <w:b/>
          <w:color w:val="000000"/>
          <w:sz w:val="24"/>
          <w:szCs w:val="24"/>
          <w:lang w:val="sq-AL"/>
        </w:rPr>
        <w:t xml:space="preserve">dhe </w:t>
      </w:r>
      <w:proofErr w:type="spellStart"/>
      <w:r w:rsidR="00553425" w:rsidRPr="00520DB5">
        <w:rPr>
          <w:rFonts w:ascii="Garamond" w:hAnsi="Garamond" w:cs="Times New Roman"/>
          <w:b/>
          <w:color w:val="000000"/>
          <w:sz w:val="24"/>
          <w:szCs w:val="24"/>
          <w:lang w:val="sq-AL"/>
        </w:rPr>
        <w:t>Eduard</w:t>
      </w:r>
      <w:proofErr w:type="spellEnd"/>
      <w:r w:rsidR="00553425" w:rsidRPr="00520DB5">
        <w:rPr>
          <w:rFonts w:ascii="Garamond" w:hAnsi="Garamond" w:cs="Times New Roman"/>
          <w:b/>
          <w:color w:val="000000"/>
          <w:sz w:val="24"/>
          <w:szCs w:val="24"/>
          <w:lang w:val="sq-AL"/>
        </w:rPr>
        <w:t xml:space="preserve"> </w:t>
      </w:r>
      <w:r w:rsidR="00E96397" w:rsidRPr="00520DB5">
        <w:rPr>
          <w:rFonts w:ascii="Garamond" w:hAnsi="Garamond" w:cs="Times New Roman"/>
          <w:b/>
          <w:color w:val="000000"/>
          <w:sz w:val="24"/>
          <w:szCs w:val="24"/>
          <w:lang w:val="sq-AL"/>
        </w:rPr>
        <w:t>Biti</w:t>
      </w:r>
    </w:p>
    <w:p w14:paraId="2A62C845" w14:textId="77777777" w:rsidR="00553425" w:rsidRPr="00520DB5" w:rsidRDefault="00553425" w:rsidP="00F67B84">
      <w:pPr>
        <w:autoSpaceDE w:val="0"/>
        <w:autoSpaceDN w:val="0"/>
        <w:adjustRightInd w:val="0"/>
        <w:spacing w:after="0" w:line="240" w:lineRule="auto"/>
        <w:ind w:firstLine="284"/>
        <w:jc w:val="center"/>
        <w:rPr>
          <w:rFonts w:ascii="Garamond" w:hAnsi="Garamond" w:cs="Times New Roman"/>
          <w:b/>
          <w:color w:val="000000"/>
          <w:sz w:val="24"/>
          <w:szCs w:val="24"/>
          <w:lang w:val="sq-AL"/>
        </w:rPr>
      </w:pPr>
      <w:r w:rsidRPr="00520DB5">
        <w:rPr>
          <w:rFonts w:ascii="Garamond" w:hAnsi="Garamond" w:cs="Times New Roman"/>
          <w:b/>
          <w:color w:val="000000"/>
          <w:sz w:val="24"/>
          <w:szCs w:val="24"/>
          <w:lang w:val="sq-AL"/>
        </w:rPr>
        <w:t>kundër Shqipërisë</w:t>
      </w:r>
    </w:p>
    <w:p w14:paraId="2AA9C606" w14:textId="77777777" w:rsidR="00553425" w:rsidRPr="00520DB5" w:rsidRDefault="00553425" w:rsidP="00F67B84">
      <w:pPr>
        <w:autoSpaceDE w:val="0"/>
        <w:autoSpaceDN w:val="0"/>
        <w:adjustRightInd w:val="0"/>
        <w:spacing w:after="0" w:line="240" w:lineRule="auto"/>
        <w:ind w:firstLine="284"/>
        <w:jc w:val="center"/>
        <w:rPr>
          <w:rFonts w:ascii="Garamond" w:hAnsi="Garamond" w:cs="Times New Roman"/>
          <w:color w:val="000000"/>
          <w:sz w:val="24"/>
          <w:szCs w:val="24"/>
          <w:lang w:val="sq-AL"/>
        </w:rPr>
      </w:pPr>
    </w:p>
    <w:p w14:paraId="4E1EAE8B" w14:textId="5D2899E6"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Gjykata Evropiane e të Drejtave të Njeriut (Seksioni i Tretë), e mbledhur më 19 </w:t>
      </w:r>
      <w:r w:rsidR="003116C5" w:rsidRPr="00520DB5">
        <w:rPr>
          <w:rFonts w:ascii="Garamond" w:hAnsi="Garamond" w:cs="Times New Roman"/>
          <w:color w:val="000000"/>
          <w:sz w:val="24"/>
          <w:szCs w:val="24"/>
          <w:lang w:val="sq-AL"/>
        </w:rPr>
        <w:t xml:space="preserve">mars </w:t>
      </w:r>
      <w:r w:rsidRPr="00520DB5">
        <w:rPr>
          <w:rFonts w:ascii="Garamond" w:hAnsi="Garamond" w:cs="Times New Roman"/>
          <w:color w:val="000000"/>
          <w:sz w:val="24"/>
          <w:szCs w:val="24"/>
          <w:lang w:val="sq-AL"/>
        </w:rPr>
        <w:t>2024</w:t>
      </w:r>
      <w:r w:rsidR="003116C5">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si një Komitet i përbërë nga: </w:t>
      </w:r>
    </w:p>
    <w:p w14:paraId="0A1AE696" w14:textId="603D6E27" w:rsidR="00553425" w:rsidRPr="00520DB5" w:rsidRDefault="00553425" w:rsidP="00F67B84">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lang w:val="sq-AL"/>
        </w:rPr>
      </w:pPr>
      <w:r w:rsidRPr="00520DB5">
        <w:rPr>
          <w:rFonts w:ascii="Garamond" w:hAnsi="Garamond" w:cs="Times New Roman"/>
          <w:color w:val="000000"/>
          <w:sz w:val="24"/>
          <w:szCs w:val="24"/>
          <w:lang w:val="sq-AL"/>
        </w:rPr>
        <w:t xml:space="preserve"> </w:t>
      </w:r>
      <w:proofErr w:type="spellStart"/>
      <w:r w:rsidRPr="00520DB5">
        <w:rPr>
          <w:rFonts w:ascii="Garamond" w:hAnsi="Garamond" w:cs="Times New Roman"/>
          <w:color w:val="000000"/>
          <w:sz w:val="24"/>
          <w:szCs w:val="24"/>
          <w:lang w:val="sq-AL"/>
        </w:rPr>
        <w:t>Georgios</w:t>
      </w:r>
      <w:proofErr w:type="spellEnd"/>
      <w:r w:rsidRPr="00520DB5">
        <w:rPr>
          <w:rFonts w:ascii="Garamond" w:hAnsi="Garamond" w:cs="Times New Roman"/>
          <w:color w:val="000000"/>
          <w:sz w:val="24"/>
          <w:szCs w:val="24"/>
          <w:lang w:val="sq-AL"/>
        </w:rPr>
        <w:t xml:space="preserve"> A. </w:t>
      </w:r>
      <w:proofErr w:type="spellStart"/>
      <w:r w:rsidRPr="00520DB5">
        <w:rPr>
          <w:rFonts w:ascii="Garamond" w:hAnsi="Garamond" w:cs="Times New Roman"/>
          <w:color w:val="000000"/>
          <w:sz w:val="24"/>
          <w:szCs w:val="24"/>
          <w:lang w:val="sq-AL"/>
        </w:rPr>
        <w:t>Serghides</w:t>
      </w:r>
      <w:proofErr w:type="spellEnd"/>
      <w:r w:rsidRPr="00520DB5">
        <w:rPr>
          <w:rFonts w:ascii="Garamond" w:hAnsi="Garamond" w:cs="Times New Roman"/>
          <w:color w:val="000000"/>
          <w:sz w:val="24"/>
          <w:szCs w:val="24"/>
          <w:lang w:val="sq-AL"/>
        </w:rPr>
        <w:t>,</w:t>
      </w:r>
      <w:r w:rsidRPr="00520DB5">
        <w:rPr>
          <w:rFonts w:ascii="Garamond" w:hAnsi="Garamond" w:cs="Times New Roman"/>
          <w:i/>
          <w:iCs/>
          <w:color w:val="000000"/>
          <w:sz w:val="24"/>
          <w:szCs w:val="24"/>
          <w:lang w:val="sq-AL"/>
        </w:rPr>
        <w:t xml:space="preserve"> </w:t>
      </w:r>
      <w:r w:rsidR="003116C5" w:rsidRPr="00520DB5">
        <w:rPr>
          <w:rFonts w:ascii="Garamond" w:hAnsi="Garamond" w:cs="Times New Roman"/>
          <w:i/>
          <w:iCs/>
          <w:color w:val="000000"/>
          <w:sz w:val="24"/>
          <w:szCs w:val="24"/>
          <w:lang w:val="sq-AL"/>
        </w:rPr>
        <w:t>kryetar</w:t>
      </w:r>
      <w:r w:rsidRPr="00520DB5">
        <w:rPr>
          <w:rFonts w:ascii="Garamond" w:hAnsi="Garamond" w:cs="Times New Roman"/>
          <w:i/>
          <w:iCs/>
          <w:color w:val="000000"/>
          <w:sz w:val="24"/>
          <w:szCs w:val="24"/>
          <w:lang w:val="sq-AL"/>
        </w:rPr>
        <w:t>,</w:t>
      </w:r>
    </w:p>
    <w:p w14:paraId="450CC509" w14:textId="7AA60D45" w:rsidR="00553425" w:rsidRPr="00520DB5" w:rsidRDefault="00553425" w:rsidP="00F67B84">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520DB5">
        <w:rPr>
          <w:rFonts w:ascii="Garamond" w:hAnsi="Garamond" w:cs="Times New Roman"/>
          <w:i/>
          <w:iCs/>
          <w:color w:val="000000"/>
          <w:sz w:val="24"/>
          <w:szCs w:val="24"/>
          <w:lang w:val="sq-AL"/>
        </w:rPr>
        <w:t xml:space="preserve"> </w:t>
      </w:r>
      <w:proofErr w:type="spellStart"/>
      <w:r w:rsidRPr="00520DB5">
        <w:rPr>
          <w:rFonts w:ascii="Garamond" w:hAnsi="Garamond" w:cs="Times New Roman"/>
          <w:color w:val="000000"/>
          <w:sz w:val="24"/>
          <w:szCs w:val="24"/>
          <w:lang w:val="sq-AL"/>
        </w:rPr>
        <w:t>Darian</w:t>
      </w:r>
      <w:proofErr w:type="spellEnd"/>
      <w:r w:rsidRPr="00520DB5">
        <w:rPr>
          <w:rFonts w:ascii="Garamond" w:hAnsi="Garamond" w:cs="Times New Roman"/>
          <w:color w:val="000000"/>
          <w:sz w:val="24"/>
          <w:szCs w:val="24"/>
          <w:lang w:val="sq-AL"/>
        </w:rPr>
        <w:t xml:space="preserve"> </w:t>
      </w:r>
      <w:proofErr w:type="spellStart"/>
      <w:r w:rsidRPr="00520DB5">
        <w:rPr>
          <w:rFonts w:ascii="Garamond" w:hAnsi="Garamond" w:cs="Times New Roman"/>
          <w:color w:val="000000"/>
          <w:sz w:val="24"/>
          <w:szCs w:val="24"/>
          <w:lang w:val="sq-AL"/>
        </w:rPr>
        <w:t>Pavli</w:t>
      </w:r>
      <w:proofErr w:type="spellEnd"/>
      <w:r w:rsidRPr="00520DB5">
        <w:rPr>
          <w:rFonts w:ascii="Garamond" w:hAnsi="Garamond" w:cs="Times New Roman"/>
          <w:color w:val="000000"/>
          <w:sz w:val="24"/>
          <w:szCs w:val="24"/>
          <w:lang w:val="sq-AL"/>
        </w:rPr>
        <w:t>,</w:t>
      </w:r>
    </w:p>
    <w:p w14:paraId="15EFBB1F" w14:textId="012FD056" w:rsidR="00553425" w:rsidRPr="00520DB5" w:rsidRDefault="00553425" w:rsidP="00F67B84">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 </w:t>
      </w:r>
      <w:proofErr w:type="spellStart"/>
      <w:r w:rsidRPr="00520DB5">
        <w:rPr>
          <w:rFonts w:ascii="Garamond" w:hAnsi="Garamond" w:cs="Times New Roman"/>
          <w:color w:val="000000"/>
          <w:sz w:val="24"/>
          <w:szCs w:val="24"/>
          <w:lang w:val="sq-AL"/>
        </w:rPr>
        <w:t>Oddný</w:t>
      </w:r>
      <w:proofErr w:type="spellEnd"/>
      <w:r w:rsidRPr="00520DB5">
        <w:rPr>
          <w:rFonts w:ascii="Garamond" w:hAnsi="Garamond" w:cs="Times New Roman"/>
          <w:color w:val="000000"/>
          <w:sz w:val="24"/>
          <w:szCs w:val="24"/>
          <w:lang w:val="sq-AL"/>
        </w:rPr>
        <w:t xml:space="preserve"> </w:t>
      </w:r>
      <w:proofErr w:type="spellStart"/>
      <w:r w:rsidRPr="00520DB5">
        <w:rPr>
          <w:rFonts w:ascii="Garamond" w:hAnsi="Garamond" w:cs="Times New Roman"/>
          <w:color w:val="000000"/>
          <w:sz w:val="24"/>
          <w:szCs w:val="24"/>
          <w:lang w:val="sq-AL"/>
        </w:rPr>
        <w:t>Mjöll</w:t>
      </w:r>
      <w:proofErr w:type="spellEnd"/>
      <w:r w:rsidRPr="00520DB5">
        <w:rPr>
          <w:rFonts w:ascii="Garamond" w:hAnsi="Garamond" w:cs="Times New Roman"/>
          <w:color w:val="000000"/>
          <w:sz w:val="24"/>
          <w:szCs w:val="24"/>
          <w:lang w:val="sq-AL"/>
        </w:rPr>
        <w:t xml:space="preserve"> </w:t>
      </w:r>
      <w:proofErr w:type="spellStart"/>
      <w:r w:rsidRPr="00520DB5">
        <w:rPr>
          <w:rFonts w:ascii="Garamond" w:hAnsi="Garamond" w:cs="Times New Roman"/>
          <w:color w:val="000000"/>
          <w:sz w:val="24"/>
          <w:szCs w:val="24"/>
          <w:lang w:val="sq-AL"/>
        </w:rPr>
        <w:t>Arnardóttir</w:t>
      </w:r>
      <w:proofErr w:type="spellEnd"/>
      <w:r w:rsidRPr="00520DB5">
        <w:rPr>
          <w:rFonts w:ascii="Garamond" w:hAnsi="Garamond" w:cs="Times New Roman"/>
          <w:color w:val="000000"/>
          <w:sz w:val="24"/>
          <w:szCs w:val="24"/>
          <w:lang w:val="sq-AL"/>
        </w:rPr>
        <w:t xml:space="preserve">, </w:t>
      </w:r>
      <w:r w:rsidRPr="00520DB5">
        <w:rPr>
          <w:rFonts w:ascii="Garamond" w:hAnsi="Garamond" w:cs="Times New Roman"/>
          <w:i/>
          <w:iCs/>
          <w:color w:val="000000"/>
          <w:sz w:val="24"/>
          <w:szCs w:val="24"/>
          <w:lang w:val="sq-AL"/>
        </w:rPr>
        <w:t xml:space="preserve">gjyqtarë </w:t>
      </w:r>
    </w:p>
    <w:p w14:paraId="28EA475D" w14:textId="29EC188B" w:rsidR="00553425" w:rsidRPr="00520DB5" w:rsidRDefault="00553425" w:rsidP="00F67B84">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dhe </w:t>
      </w:r>
      <w:proofErr w:type="spellStart"/>
      <w:r w:rsidRPr="00520DB5">
        <w:rPr>
          <w:rFonts w:ascii="Garamond" w:hAnsi="Garamond" w:cs="Times New Roman"/>
          <w:color w:val="000000"/>
          <w:sz w:val="24"/>
          <w:szCs w:val="24"/>
          <w:lang w:val="sq-AL"/>
        </w:rPr>
        <w:t>Olga</w:t>
      </w:r>
      <w:proofErr w:type="spellEnd"/>
      <w:r w:rsidRPr="00520DB5">
        <w:rPr>
          <w:rFonts w:ascii="Garamond" w:hAnsi="Garamond" w:cs="Times New Roman"/>
          <w:color w:val="000000"/>
          <w:sz w:val="24"/>
          <w:szCs w:val="24"/>
          <w:lang w:val="sq-AL"/>
        </w:rPr>
        <w:t xml:space="preserve"> </w:t>
      </w:r>
      <w:proofErr w:type="spellStart"/>
      <w:r w:rsidRPr="00520DB5">
        <w:rPr>
          <w:rFonts w:ascii="Garamond" w:hAnsi="Garamond" w:cs="Times New Roman"/>
          <w:color w:val="000000"/>
          <w:sz w:val="24"/>
          <w:szCs w:val="24"/>
          <w:lang w:val="sq-AL"/>
        </w:rPr>
        <w:t>Chernishova</w:t>
      </w:r>
      <w:proofErr w:type="spellEnd"/>
      <w:r w:rsidRPr="00520DB5">
        <w:rPr>
          <w:rFonts w:ascii="Garamond" w:hAnsi="Garamond" w:cs="Times New Roman"/>
          <w:color w:val="000000"/>
          <w:sz w:val="24"/>
          <w:szCs w:val="24"/>
          <w:lang w:val="sq-AL"/>
        </w:rPr>
        <w:t xml:space="preserve">, </w:t>
      </w:r>
      <w:r w:rsidR="003116C5" w:rsidRPr="00520DB5">
        <w:rPr>
          <w:rFonts w:ascii="Garamond" w:hAnsi="Garamond" w:cs="Times New Roman"/>
          <w:i/>
          <w:iCs/>
          <w:color w:val="000000"/>
          <w:sz w:val="24"/>
          <w:szCs w:val="24"/>
          <w:lang w:val="sq-AL"/>
        </w:rPr>
        <w:t xml:space="preserve">zëvendëssekretare </w:t>
      </w:r>
      <w:r w:rsidRPr="00520DB5">
        <w:rPr>
          <w:rFonts w:ascii="Garamond" w:hAnsi="Garamond" w:cs="Times New Roman"/>
          <w:i/>
          <w:iCs/>
          <w:color w:val="000000"/>
          <w:sz w:val="24"/>
          <w:szCs w:val="24"/>
          <w:lang w:val="sq-AL"/>
        </w:rPr>
        <w:t>e Seksionit,</w:t>
      </w:r>
      <w:r w:rsidRPr="00520DB5">
        <w:rPr>
          <w:rFonts w:ascii="Garamond" w:hAnsi="Garamond" w:cs="Times New Roman"/>
          <w:color w:val="000000"/>
          <w:sz w:val="24"/>
          <w:szCs w:val="24"/>
          <w:lang w:val="sq-AL"/>
        </w:rPr>
        <w:t xml:space="preserve"> </w:t>
      </w:r>
    </w:p>
    <w:p w14:paraId="3EC08FFB" w14:textId="20FE8394" w:rsidR="00553425" w:rsidRPr="00520DB5" w:rsidRDefault="003116C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duke </w:t>
      </w:r>
      <w:r w:rsidR="00553425" w:rsidRPr="00520DB5">
        <w:rPr>
          <w:rFonts w:ascii="Garamond" w:hAnsi="Garamond" w:cs="Times New Roman"/>
          <w:color w:val="000000"/>
          <w:sz w:val="24"/>
          <w:szCs w:val="24"/>
          <w:lang w:val="sq-AL"/>
        </w:rPr>
        <w:t>marrë në konsideratë:</w:t>
      </w:r>
    </w:p>
    <w:p w14:paraId="7C6057D0" w14:textId="61ED026E"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kërkesën (nr. 47108/08) kundër Republikës së Shqipërisë depozituar pranë Gjykatës në mbështetje të </w:t>
      </w:r>
      <w:r w:rsidR="003116C5" w:rsidRPr="00520DB5">
        <w:rPr>
          <w:rFonts w:ascii="Garamond" w:hAnsi="Garamond" w:cs="Times New Roman"/>
          <w:color w:val="000000"/>
          <w:sz w:val="24"/>
          <w:szCs w:val="24"/>
          <w:lang w:val="sq-AL"/>
        </w:rPr>
        <w:t xml:space="preserve">nenit </w:t>
      </w:r>
      <w:r w:rsidRPr="00520DB5">
        <w:rPr>
          <w:rFonts w:ascii="Garamond" w:hAnsi="Garamond" w:cs="Times New Roman"/>
          <w:color w:val="000000"/>
          <w:sz w:val="24"/>
          <w:szCs w:val="24"/>
          <w:lang w:val="sq-AL"/>
        </w:rPr>
        <w:t xml:space="preserve">34 të Konventës për Mbrojtjen e të Drejtave të Njeriut dhe Lirive Themelore (“Konventa”), më 17 </w:t>
      </w:r>
      <w:r w:rsidR="003116C5" w:rsidRPr="00520DB5">
        <w:rPr>
          <w:rFonts w:ascii="Garamond" w:hAnsi="Garamond" w:cs="Times New Roman"/>
          <w:color w:val="000000"/>
          <w:sz w:val="24"/>
          <w:szCs w:val="24"/>
          <w:lang w:val="sq-AL"/>
        </w:rPr>
        <w:t xml:space="preserve">shtator </w:t>
      </w:r>
      <w:r w:rsidRPr="00520DB5">
        <w:rPr>
          <w:rFonts w:ascii="Garamond" w:hAnsi="Garamond" w:cs="Times New Roman"/>
          <w:color w:val="000000"/>
          <w:sz w:val="24"/>
          <w:szCs w:val="24"/>
          <w:lang w:val="sq-AL"/>
        </w:rPr>
        <w:t xml:space="preserve">2008, nga </w:t>
      </w:r>
      <w:proofErr w:type="spellStart"/>
      <w:r w:rsidRPr="00520DB5">
        <w:rPr>
          <w:rFonts w:ascii="Garamond" w:hAnsi="Garamond" w:cs="Times New Roman"/>
          <w:color w:val="000000"/>
          <w:sz w:val="24"/>
          <w:szCs w:val="24"/>
          <w:lang w:val="sq-AL"/>
        </w:rPr>
        <w:t>Alba</w:t>
      </w:r>
      <w:proofErr w:type="spellEnd"/>
      <w:r w:rsidRPr="00520DB5">
        <w:rPr>
          <w:rFonts w:ascii="Garamond" w:hAnsi="Garamond" w:cs="Times New Roman"/>
          <w:color w:val="000000"/>
          <w:sz w:val="24"/>
          <w:szCs w:val="24"/>
          <w:lang w:val="sq-AL"/>
        </w:rPr>
        <w:t xml:space="preserve"> </w:t>
      </w:r>
      <w:proofErr w:type="spellStart"/>
      <w:r w:rsidRPr="00520DB5">
        <w:rPr>
          <w:rFonts w:ascii="Garamond" w:hAnsi="Garamond" w:cs="Times New Roman"/>
          <w:color w:val="000000"/>
          <w:sz w:val="24"/>
          <w:szCs w:val="24"/>
          <w:lang w:val="sq-AL"/>
        </w:rPr>
        <w:t>Games</w:t>
      </w:r>
      <w:proofErr w:type="spellEnd"/>
      <w:r w:rsidRPr="00520DB5">
        <w:rPr>
          <w:rFonts w:ascii="Garamond" w:hAnsi="Garamond" w:cs="Times New Roman"/>
          <w:color w:val="000000"/>
          <w:sz w:val="24"/>
          <w:szCs w:val="24"/>
          <w:lang w:val="sq-AL"/>
        </w:rPr>
        <w:t xml:space="preserve">, një kompani e themeluar në Shqipëri (“kompania kërkuese”), dhe </w:t>
      </w:r>
      <w:r w:rsidR="003116C5" w:rsidRPr="00520DB5">
        <w:rPr>
          <w:rFonts w:ascii="Garamond" w:hAnsi="Garamond" w:cs="Times New Roman"/>
          <w:color w:val="000000"/>
          <w:sz w:val="24"/>
          <w:szCs w:val="24"/>
          <w:lang w:val="sq-AL"/>
        </w:rPr>
        <w:t>z</w:t>
      </w:r>
      <w:r w:rsidRPr="00520DB5">
        <w:rPr>
          <w:rFonts w:ascii="Garamond" w:hAnsi="Garamond" w:cs="Times New Roman"/>
          <w:color w:val="000000"/>
          <w:sz w:val="24"/>
          <w:szCs w:val="24"/>
          <w:lang w:val="sq-AL"/>
        </w:rPr>
        <w:t xml:space="preserve">. </w:t>
      </w:r>
      <w:proofErr w:type="spellStart"/>
      <w:r w:rsidRPr="00520DB5">
        <w:rPr>
          <w:rFonts w:ascii="Garamond" w:hAnsi="Garamond" w:cs="Times New Roman"/>
          <w:color w:val="000000"/>
          <w:sz w:val="24"/>
          <w:szCs w:val="24"/>
          <w:lang w:val="sq-AL"/>
        </w:rPr>
        <w:t>Eduard</w:t>
      </w:r>
      <w:proofErr w:type="spellEnd"/>
      <w:r w:rsidRPr="00520DB5">
        <w:rPr>
          <w:rFonts w:ascii="Garamond" w:hAnsi="Garamond" w:cs="Times New Roman"/>
          <w:color w:val="000000"/>
          <w:sz w:val="24"/>
          <w:szCs w:val="24"/>
          <w:lang w:val="sq-AL"/>
        </w:rPr>
        <w:t xml:space="preserve"> Biti, një shtetas shqiptar, lindur më 1968 dhe banues në Tiranë (“kërkuesi i dytë”), dhe përfaqësuar nga </w:t>
      </w:r>
      <w:r w:rsidR="003116C5" w:rsidRPr="00520DB5">
        <w:rPr>
          <w:rFonts w:ascii="Garamond" w:hAnsi="Garamond" w:cs="Times New Roman"/>
          <w:color w:val="000000"/>
          <w:sz w:val="24"/>
          <w:szCs w:val="24"/>
          <w:lang w:val="sq-AL"/>
        </w:rPr>
        <w:t>z</w:t>
      </w:r>
      <w:r w:rsidRPr="00520DB5">
        <w:rPr>
          <w:rFonts w:ascii="Garamond" w:hAnsi="Garamond" w:cs="Times New Roman"/>
          <w:color w:val="000000"/>
          <w:sz w:val="24"/>
          <w:szCs w:val="24"/>
          <w:lang w:val="sq-AL"/>
        </w:rPr>
        <w:t xml:space="preserve">. </w:t>
      </w:r>
      <w:proofErr w:type="spellStart"/>
      <w:r w:rsidRPr="00520DB5">
        <w:rPr>
          <w:rFonts w:ascii="Garamond" w:hAnsi="Garamond" w:cs="Times New Roman"/>
          <w:color w:val="000000"/>
          <w:sz w:val="24"/>
          <w:szCs w:val="24"/>
          <w:lang w:val="sq-AL"/>
        </w:rPr>
        <w:t>Muçi</w:t>
      </w:r>
      <w:proofErr w:type="spellEnd"/>
      <w:r w:rsidRPr="00520DB5">
        <w:rPr>
          <w:rFonts w:ascii="Garamond" w:hAnsi="Garamond" w:cs="Times New Roman"/>
          <w:color w:val="000000"/>
          <w:sz w:val="24"/>
          <w:szCs w:val="24"/>
          <w:lang w:val="sq-AL"/>
        </w:rPr>
        <w:t xml:space="preserve">, një avokat i cili e ushtron profesionin në Tiranë; </w:t>
      </w:r>
    </w:p>
    <w:p w14:paraId="1715B948" w14:textId="1180F4BD"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vendimin për të vënë në dijeni në lidhje me kërkesën </w:t>
      </w:r>
      <w:r w:rsidR="003116C5" w:rsidRPr="00520DB5">
        <w:rPr>
          <w:rFonts w:ascii="Garamond" w:hAnsi="Garamond" w:cs="Times New Roman"/>
          <w:color w:val="000000"/>
          <w:sz w:val="24"/>
          <w:szCs w:val="24"/>
          <w:lang w:val="sq-AL"/>
        </w:rPr>
        <w:t xml:space="preserve">qeverinë shqiptare </w:t>
      </w:r>
      <w:r w:rsidRPr="00520DB5">
        <w:rPr>
          <w:rFonts w:ascii="Garamond" w:hAnsi="Garamond" w:cs="Times New Roman"/>
          <w:color w:val="000000"/>
          <w:sz w:val="24"/>
          <w:szCs w:val="24"/>
          <w:lang w:val="sq-AL"/>
        </w:rPr>
        <w:t xml:space="preserve">(“Qeveria”), fillimisht e përfaqësuar nga </w:t>
      </w:r>
      <w:r w:rsidR="003116C5" w:rsidRPr="00520DB5">
        <w:rPr>
          <w:rFonts w:ascii="Garamond" w:hAnsi="Garamond" w:cs="Times New Roman"/>
          <w:color w:val="000000"/>
          <w:sz w:val="24"/>
          <w:szCs w:val="24"/>
          <w:lang w:val="sq-AL"/>
        </w:rPr>
        <w:t xml:space="preserve">agjenti </w:t>
      </w:r>
      <w:r w:rsidRPr="00520DB5">
        <w:rPr>
          <w:rFonts w:ascii="Garamond" w:hAnsi="Garamond" w:cs="Times New Roman"/>
          <w:color w:val="000000"/>
          <w:sz w:val="24"/>
          <w:szCs w:val="24"/>
          <w:lang w:val="sq-AL"/>
        </w:rPr>
        <w:t xml:space="preserve">i saj i asaj periudhe A. </w:t>
      </w:r>
      <w:proofErr w:type="spellStart"/>
      <w:r w:rsidRPr="00520DB5">
        <w:rPr>
          <w:rFonts w:ascii="Garamond" w:hAnsi="Garamond" w:cs="Times New Roman"/>
          <w:color w:val="000000"/>
          <w:sz w:val="24"/>
          <w:szCs w:val="24"/>
          <w:lang w:val="sq-AL"/>
        </w:rPr>
        <w:t>Hiçka</w:t>
      </w:r>
      <w:proofErr w:type="spellEnd"/>
      <w:r w:rsidRPr="00520DB5">
        <w:rPr>
          <w:rFonts w:ascii="Garamond" w:hAnsi="Garamond" w:cs="Times New Roman"/>
          <w:color w:val="000000"/>
          <w:sz w:val="24"/>
          <w:szCs w:val="24"/>
          <w:lang w:val="sq-AL"/>
        </w:rPr>
        <w:t xml:space="preserve">, dhe në vijim nga </w:t>
      </w:r>
      <w:r w:rsidR="003116C5" w:rsidRPr="00520DB5">
        <w:rPr>
          <w:rFonts w:ascii="Garamond" w:hAnsi="Garamond" w:cs="Times New Roman"/>
          <w:color w:val="000000"/>
          <w:sz w:val="24"/>
          <w:szCs w:val="24"/>
          <w:lang w:val="sq-AL"/>
        </w:rPr>
        <w:t>z</w:t>
      </w:r>
      <w:r w:rsidRPr="00520DB5">
        <w:rPr>
          <w:rFonts w:ascii="Garamond" w:hAnsi="Garamond" w:cs="Times New Roman"/>
          <w:color w:val="000000"/>
          <w:sz w:val="24"/>
          <w:szCs w:val="24"/>
          <w:lang w:val="sq-AL"/>
        </w:rPr>
        <w:t xml:space="preserve">. O. </w:t>
      </w:r>
      <w:proofErr w:type="spellStart"/>
      <w:r w:rsidRPr="00520DB5">
        <w:rPr>
          <w:rFonts w:ascii="Garamond" w:hAnsi="Garamond" w:cs="Times New Roman"/>
          <w:color w:val="000000"/>
          <w:sz w:val="24"/>
          <w:szCs w:val="24"/>
          <w:lang w:val="sq-AL"/>
        </w:rPr>
        <w:t>Moçka</w:t>
      </w:r>
      <w:proofErr w:type="spellEnd"/>
      <w:r w:rsidRPr="00520DB5">
        <w:rPr>
          <w:rFonts w:ascii="Garamond" w:hAnsi="Garamond" w:cs="Times New Roman"/>
          <w:color w:val="000000"/>
          <w:sz w:val="24"/>
          <w:szCs w:val="24"/>
          <w:lang w:val="sq-AL"/>
        </w:rPr>
        <w:t xml:space="preserve">, Avokati i Përgjithshëm i Shtetit; </w:t>
      </w:r>
    </w:p>
    <w:p w14:paraId="3771B63B" w14:textId="031CD7A7"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vërejtjet e palëve;</w:t>
      </w:r>
      <w:r w:rsidR="00520DB5" w:rsidRPr="00520DB5">
        <w:rPr>
          <w:rFonts w:ascii="Garamond" w:hAnsi="Garamond" w:cs="Times New Roman"/>
          <w:color w:val="000000"/>
          <w:sz w:val="24"/>
          <w:szCs w:val="24"/>
          <w:lang w:val="sq-AL"/>
        </w:rPr>
        <w:t xml:space="preserve"> </w:t>
      </w:r>
    </w:p>
    <w:p w14:paraId="2068BC51" w14:textId="4AD07B21"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vendimin e datës 31 </w:t>
      </w:r>
      <w:r w:rsidR="003116C5" w:rsidRPr="00520DB5">
        <w:rPr>
          <w:rFonts w:ascii="Garamond" w:hAnsi="Garamond" w:cs="Times New Roman"/>
          <w:color w:val="000000"/>
          <w:sz w:val="24"/>
          <w:szCs w:val="24"/>
          <w:lang w:val="sq-AL"/>
        </w:rPr>
        <w:t xml:space="preserve">gusht </w:t>
      </w:r>
      <w:r w:rsidRPr="00520DB5">
        <w:rPr>
          <w:rFonts w:ascii="Garamond" w:hAnsi="Garamond" w:cs="Times New Roman"/>
          <w:color w:val="000000"/>
          <w:sz w:val="24"/>
          <w:szCs w:val="24"/>
          <w:lang w:val="sq-AL"/>
        </w:rPr>
        <w:t>2023 për të përjashtuar kërkesën nga lista e saj e çështjeve</w:t>
      </w:r>
      <w:r w:rsidR="003116C5">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për shkak të mungesës së interesit; </w:t>
      </w:r>
    </w:p>
    <w:p w14:paraId="6D0D42D2" w14:textId="13CA069F"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vendimin e datës 1 </w:t>
      </w:r>
      <w:r w:rsidR="003116C5" w:rsidRPr="00520DB5">
        <w:rPr>
          <w:rFonts w:ascii="Garamond" w:hAnsi="Garamond" w:cs="Times New Roman"/>
          <w:color w:val="000000"/>
          <w:sz w:val="24"/>
          <w:szCs w:val="24"/>
          <w:lang w:val="sq-AL"/>
        </w:rPr>
        <w:t xml:space="preserve">shkurt </w:t>
      </w:r>
      <w:r w:rsidRPr="00520DB5">
        <w:rPr>
          <w:rFonts w:ascii="Garamond" w:hAnsi="Garamond" w:cs="Times New Roman"/>
          <w:color w:val="000000"/>
          <w:sz w:val="24"/>
          <w:szCs w:val="24"/>
          <w:lang w:val="sq-AL"/>
        </w:rPr>
        <w:t>2024 për të kthyer kërkesën në listën e saj të çështjeve (</w:t>
      </w:r>
      <w:r w:rsidR="003116C5" w:rsidRPr="00520DB5">
        <w:rPr>
          <w:rFonts w:ascii="Garamond" w:hAnsi="Garamond" w:cs="Times New Roman"/>
          <w:color w:val="000000"/>
          <w:sz w:val="24"/>
          <w:szCs w:val="24"/>
          <w:lang w:val="sq-AL"/>
        </w:rPr>
        <w:t>rregull</w:t>
      </w:r>
      <w:r w:rsidR="003116C5">
        <w:rPr>
          <w:rFonts w:ascii="Garamond" w:hAnsi="Garamond" w:cs="Times New Roman"/>
          <w:color w:val="000000"/>
          <w:sz w:val="24"/>
          <w:szCs w:val="24"/>
          <w:lang w:val="sq-AL"/>
        </w:rPr>
        <w:t xml:space="preserve">a </w:t>
      </w:r>
      <w:r w:rsidRPr="00520DB5">
        <w:rPr>
          <w:rFonts w:ascii="Garamond" w:hAnsi="Garamond" w:cs="Times New Roman"/>
          <w:color w:val="000000"/>
          <w:sz w:val="24"/>
          <w:szCs w:val="24"/>
          <w:lang w:val="sq-AL"/>
        </w:rPr>
        <w:t xml:space="preserve">43 § 5 </w:t>
      </w:r>
      <w:r w:rsidR="003116C5">
        <w:rPr>
          <w:rFonts w:ascii="Garamond" w:hAnsi="Garamond" w:cs="Times New Roman"/>
          <w:color w:val="000000"/>
          <w:sz w:val="24"/>
          <w:szCs w:val="24"/>
          <w:lang w:val="sq-AL"/>
        </w:rPr>
        <w:t>e</w:t>
      </w:r>
      <w:r w:rsidRPr="00520DB5">
        <w:rPr>
          <w:rFonts w:ascii="Garamond" w:hAnsi="Garamond" w:cs="Times New Roman"/>
          <w:color w:val="000000"/>
          <w:sz w:val="24"/>
          <w:szCs w:val="24"/>
          <w:lang w:val="sq-AL"/>
        </w:rPr>
        <w:t xml:space="preserve"> Rregullores së Gjykatës)</w:t>
      </w:r>
      <w:r w:rsidR="003116C5">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pasi kërkuesi kishte provuar se e kishte ndjekur rregullisht kërkesën; </w:t>
      </w:r>
    </w:p>
    <w:p w14:paraId="30C95280" w14:textId="789CD52E" w:rsidR="00553425" w:rsidRPr="00520DB5" w:rsidRDefault="00624D50"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pasi </w:t>
      </w:r>
      <w:r w:rsidR="00553425" w:rsidRPr="00520DB5">
        <w:rPr>
          <w:rFonts w:ascii="Garamond" w:hAnsi="Garamond" w:cs="Times New Roman"/>
          <w:color w:val="000000"/>
          <w:sz w:val="24"/>
          <w:szCs w:val="24"/>
          <w:lang w:val="sq-AL"/>
        </w:rPr>
        <w:t>diskutoi, vendos si më poshtë:</w:t>
      </w:r>
    </w:p>
    <w:p w14:paraId="5015D87D" w14:textId="77777777"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LËNDA E ÇËSHTJES</w:t>
      </w:r>
    </w:p>
    <w:p w14:paraId="52543F01" w14:textId="2ADAD221"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1. Çështja ka të bëjë me legjislacionin për lojërat e fatit, për të cilin pretendohej se ndikonte në aktivitetin e biznesit të kërkuesve. </w:t>
      </w:r>
    </w:p>
    <w:p w14:paraId="0501E29B" w14:textId="604CDD94"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2. Më 31 </w:t>
      </w:r>
      <w:r w:rsidR="00952BD8" w:rsidRPr="00520DB5">
        <w:rPr>
          <w:rFonts w:ascii="Garamond" w:hAnsi="Garamond" w:cs="Times New Roman"/>
          <w:color w:val="000000"/>
          <w:sz w:val="24"/>
          <w:szCs w:val="24"/>
          <w:lang w:val="sq-AL"/>
        </w:rPr>
        <w:t xml:space="preserve">dhjetor </w:t>
      </w:r>
      <w:r w:rsidRPr="00520DB5">
        <w:rPr>
          <w:rFonts w:ascii="Garamond" w:hAnsi="Garamond" w:cs="Times New Roman"/>
          <w:color w:val="000000"/>
          <w:sz w:val="24"/>
          <w:szCs w:val="24"/>
          <w:lang w:val="sq-AL"/>
        </w:rPr>
        <w:t>2002, kompanisë kërkuese iu akordua një licencë për të operuar pajisje për lojërat e fatit për dhjetë v</w:t>
      </w:r>
      <w:r w:rsidR="00952BD8">
        <w:rPr>
          <w:rFonts w:ascii="Garamond" w:hAnsi="Garamond" w:cs="Times New Roman"/>
          <w:color w:val="000000"/>
          <w:sz w:val="24"/>
          <w:szCs w:val="24"/>
          <w:lang w:val="sq-AL"/>
        </w:rPr>
        <w:t>jet</w:t>
      </w:r>
      <w:r w:rsidRPr="00520DB5">
        <w:rPr>
          <w:rFonts w:ascii="Garamond" w:hAnsi="Garamond" w:cs="Times New Roman"/>
          <w:color w:val="000000"/>
          <w:sz w:val="24"/>
          <w:szCs w:val="24"/>
          <w:lang w:val="sq-AL"/>
        </w:rPr>
        <w:t xml:space="preserve">. Në periudhën nga data 19 </w:t>
      </w:r>
      <w:r w:rsidR="00237E6B" w:rsidRPr="00520DB5">
        <w:rPr>
          <w:rFonts w:ascii="Garamond" w:hAnsi="Garamond" w:cs="Times New Roman"/>
          <w:color w:val="000000"/>
          <w:sz w:val="24"/>
          <w:szCs w:val="24"/>
          <w:lang w:val="sq-AL"/>
        </w:rPr>
        <w:t xml:space="preserve">korrik </w:t>
      </w:r>
      <w:r w:rsidRPr="00520DB5">
        <w:rPr>
          <w:rFonts w:ascii="Garamond" w:hAnsi="Garamond" w:cs="Times New Roman"/>
          <w:color w:val="000000"/>
          <w:sz w:val="24"/>
          <w:szCs w:val="24"/>
          <w:lang w:val="sq-AL"/>
        </w:rPr>
        <w:t xml:space="preserve">2003 deri më 14 </w:t>
      </w:r>
      <w:r w:rsidR="00237E6B" w:rsidRPr="00520DB5">
        <w:rPr>
          <w:rFonts w:ascii="Garamond" w:hAnsi="Garamond" w:cs="Times New Roman"/>
          <w:color w:val="000000"/>
          <w:sz w:val="24"/>
          <w:szCs w:val="24"/>
          <w:lang w:val="sq-AL"/>
        </w:rPr>
        <w:t xml:space="preserve">mars </w:t>
      </w:r>
      <w:r w:rsidRPr="00520DB5">
        <w:rPr>
          <w:rFonts w:ascii="Garamond" w:hAnsi="Garamond" w:cs="Times New Roman"/>
          <w:color w:val="000000"/>
          <w:sz w:val="24"/>
          <w:szCs w:val="24"/>
          <w:lang w:val="sq-AL"/>
        </w:rPr>
        <w:t xml:space="preserve">2007, kompania kërkuese bleu tetëmbëdhjetë </w:t>
      </w:r>
      <w:proofErr w:type="spellStart"/>
      <w:r w:rsidRPr="00520DB5">
        <w:rPr>
          <w:rFonts w:ascii="Garamond" w:hAnsi="Garamond" w:cs="Times New Roman"/>
          <w:color w:val="000000"/>
          <w:sz w:val="24"/>
          <w:szCs w:val="24"/>
          <w:lang w:val="sq-AL"/>
        </w:rPr>
        <w:t>ruleta</w:t>
      </w:r>
      <w:proofErr w:type="spellEnd"/>
      <w:r w:rsidRPr="00520DB5">
        <w:rPr>
          <w:rFonts w:ascii="Garamond" w:hAnsi="Garamond" w:cs="Times New Roman"/>
          <w:color w:val="000000"/>
          <w:sz w:val="24"/>
          <w:szCs w:val="24"/>
          <w:lang w:val="sq-AL"/>
        </w:rPr>
        <w:t xml:space="preserve"> elektronike, me më shumë se një pozicion për lojëra fati, dhe nga viti 2003 deri në vitin 2008, kompania kërkuese lidhi kontrata qiraje për marrjen me qira të ambienteve në qytete të ndryshme në vend. </w:t>
      </w:r>
    </w:p>
    <w:p w14:paraId="345F1499" w14:textId="3440E8CB"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3. Më 28 </w:t>
      </w:r>
      <w:r w:rsidR="00237E6B" w:rsidRPr="00520DB5">
        <w:rPr>
          <w:rFonts w:ascii="Garamond" w:hAnsi="Garamond" w:cs="Times New Roman"/>
          <w:color w:val="000000"/>
          <w:sz w:val="24"/>
          <w:szCs w:val="24"/>
          <w:lang w:val="sq-AL"/>
        </w:rPr>
        <w:t xml:space="preserve">maj </w:t>
      </w:r>
      <w:r w:rsidRPr="00520DB5">
        <w:rPr>
          <w:rFonts w:ascii="Garamond" w:hAnsi="Garamond" w:cs="Times New Roman"/>
          <w:color w:val="000000"/>
          <w:sz w:val="24"/>
          <w:szCs w:val="24"/>
          <w:lang w:val="sq-AL"/>
        </w:rPr>
        <w:t xml:space="preserve">2007, </w:t>
      </w:r>
      <w:r w:rsidR="00237E6B" w:rsidRPr="00520DB5">
        <w:rPr>
          <w:rFonts w:ascii="Garamond" w:hAnsi="Garamond" w:cs="Times New Roman"/>
          <w:color w:val="000000"/>
          <w:sz w:val="24"/>
          <w:szCs w:val="24"/>
          <w:lang w:val="sq-AL"/>
        </w:rPr>
        <w:t xml:space="preserve">parlamenti ndryshoi ligjin për lojërat e fatit </w:t>
      </w:r>
      <w:r w:rsidRPr="00520DB5">
        <w:rPr>
          <w:rFonts w:ascii="Garamond" w:hAnsi="Garamond" w:cs="Times New Roman"/>
          <w:color w:val="000000"/>
          <w:sz w:val="24"/>
          <w:szCs w:val="24"/>
          <w:lang w:val="sq-AL"/>
        </w:rPr>
        <w:t xml:space="preserve">me parashikimin se vetëm makinat e fatit që e jepnin menjëherë çmimin do të lejoheshin si lojëra elektronike të fatit. Licencat u kërkuan brenda gjashtë muajsh që nga hyrja në fuqi e ndryshimeve për heqjen e të gjitha makinave të tjera të fatit, duke përfshirë </w:t>
      </w:r>
      <w:proofErr w:type="spellStart"/>
      <w:r w:rsidRPr="00520DB5">
        <w:rPr>
          <w:rFonts w:ascii="Garamond" w:hAnsi="Garamond" w:cs="Times New Roman"/>
          <w:color w:val="000000"/>
          <w:sz w:val="24"/>
          <w:szCs w:val="24"/>
          <w:lang w:val="sq-AL"/>
        </w:rPr>
        <w:t>ruletat</w:t>
      </w:r>
      <w:proofErr w:type="spellEnd"/>
      <w:r w:rsidRPr="00520DB5">
        <w:rPr>
          <w:rFonts w:ascii="Garamond" w:hAnsi="Garamond" w:cs="Times New Roman"/>
          <w:color w:val="000000"/>
          <w:sz w:val="24"/>
          <w:szCs w:val="24"/>
          <w:lang w:val="sq-AL"/>
        </w:rPr>
        <w:t xml:space="preserve"> me më shumë se një pozicion loje, që nuk përfshiheshin në përkufizimin e ri </w:t>
      </w:r>
      <w:proofErr w:type="spellStart"/>
      <w:r w:rsidRPr="00520DB5">
        <w:rPr>
          <w:rFonts w:ascii="Garamond" w:hAnsi="Garamond" w:cs="Times New Roman"/>
          <w:color w:val="000000"/>
          <w:sz w:val="24"/>
          <w:szCs w:val="24"/>
          <w:lang w:val="sq-AL"/>
        </w:rPr>
        <w:t>statutor</w:t>
      </w:r>
      <w:proofErr w:type="spellEnd"/>
      <w:r w:rsidRPr="00520DB5">
        <w:rPr>
          <w:rFonts w:ascii="Garamond" w:hAnsi="Garamond" w:cs="Times New Roman"/>
          <w:color w:val="000000"/>
          <w:sz w:val="24"/>
          <w:szCs w:val="24"/>
          <w:lang w:val="sq-AL"/>
        </w:rPr>
        <w:t xml:space="preserve">. </w:t>
      </w:r>
    </w:p>
    <w:p w14:paraId="3EA60594" w14:textId="645989A6"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4. Më 10 </w:t>
      </w:r>
      <w:r w:rsidR="00237E6B" w:rsidRPr="00520DB5">
        <w:rPr>
          <w:rFonts w:ascii="Garamond" w:hAnsi="Garamond" w:cs="Times New Roman"/>
          <w:color w:val="000000"/>
          <w:sz w:val="24"/>
          <w:szCs w:val="24"/>
          <w:lang w:val="sq-AL"/>
        </w:rPr>
        <w:t xml:space="preserve">shtator </w:t>
      </w:r>
      <w:r w:rsidRPr="00520DB5">
        <w:rPr>
          <w:rFonts w:ascii="Garamond" w:hAnsi="Garamond" w:cs="Times New Roman"/>
          <w:color w:val="000000"/>
          <w:sz w:val="24"/>
          <w:szCs w:val="24"/>
          <w:lang w:val="sq-AL"/>
        </w:rPr>
        <w:t xml:space="preserve">2007, Unioni i Bizneseve të Lojërave të Fatit, ku kompania kërkuese ishte anëtare, depozitoi një ankesë kushtetuese ndaj </w:t>
      </w:r>
      <w:r w:rsidR="00237E6B" w:rsidRPr="00520DB5">
        <w:rPr>
          <w:rFonts w:ascii="Garamond" w:hAnsi="Garamond" w:cs="Times New Roman"/>
          <w:color w:val="000000"/>
          <w:sz w:val="24"/>
          <w:szCs w:val="24"/>
          <w:lang w:val="sq-AL"/>
        </w:rPr>
        <w:t xml:space="preserve">ligjit </w:t>
      </w:r>
      <w:r w:rsidRPr="00520DB5">
        <w:rPr>
          <w:rFonts w:ascii="Garamond" w:hAnsi="Garamond" w:cs="Times New Roman"/>
          <w:color w:val="000000"/>
          <w:sz w:val="24"/>
          <w:szCs w:val="24"/>
          <w:lang w:val="sq-AL"/>
        </w:rPr>
        <w:t xml:space="preserve">të vitit 2007, ku kryesisht ankohej për shkeljen e të drejtave ndaj pronës së anëtarëve të tij, për shkelje të së drejtës së anëtarëve të tij për t’iu drejtuar gjykatës dhe për shkelje të parimeve për siguri juridike dhe të drejta të përftuara. </w:t>
      </w:r>
    </w:p>
    <w:p w14:paraId="0230C9FF" w14:textId="5074570F"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lastRenderedPageBreak/>
        <w:t xml:space="preserve">5. Më 19 </w:t>
      </w:r>
      <w:r w:rsidR="009766C1" w:rsidRPr="00520DB5">
        <w:rPr>
          <w:rFonts w:ascii="Garamond" w:hAnsi="Garamond" w:cs="Times New Roman"/>
          <w:color w:val="000000"/>
          <w:sz w:val="24"/>
          <w:szCs w:val="24"/>
          <w:lang w:val="sq-AL"/>
        </w:rPr>
        <w:t xml:space="preserve">mars </w:t>
      </w:r>
      <w:r w:rsidRPr="00520DB5">
        <w:rPr>
          <w:rFonts w:ascii="Garamond" w:hAnsi="Garamond" w:cs="Times New Roman"/>
          <w:color w:val="000000"/>
          <w:sz w:val="24"/>
          <w:szCs w:val="24"/>
          <w:lang w:val="sq-AL"/>
        </w:rPr>
        <w:t xml:space="preserve">2008, Gjykata Kushtetuese rrëzoi ankesën kushtetuese të Unionit. Ajo pranoi se përjashtimi i makinave të lojërave me pozicione të ndryshme lojërash nga përkufizimi i ndryshuar për makinat elektronike të lojërave sillte një kufizim në aktivitetin ekonomik të </w:t>
      </w:r>
      <w:proofErr w:type="spellStart"/>
      <w:r w:rsidRPr="00520DB5">
        <w:rPr>
          <w:rFonts w:ascii="Garamond" w:hAnsi="Garamond" w:cs="Times New Roman"/>
          <w:color w:val="000000"/>
          <w:sz w:val="24"/>
          <w:szCs w:val="24"/>
          <w:lang w:val="sq-AL"/>
        </w:rPr>
        <w:t>të</w:t>
      </w:r>
      <w:proofErr w:type="spellEnd"/>
      <w:r w:rsidRPr="00520DB5">
        <w:rPr>
          <w:rFonts w:ascii="Garamond" w:hAnsi="Garamond" w:cs="Times New Roman"/>
          <w:color w:val="000000"/>
          <w:sz w:val="24"/>
          <w:szCs w:val="24"/>
          <w:lang w:val="sq-AL"/>
        </w:rPr>
        <w:t xml:space="preserve"> licencuarve. Me ndryshimin e dispozitës, ligjvënësi ndiqte</w:t>
      </w:r>
      <w:r w:rsidR="00520DB5" w:rsidRPr="00520DB5">
        <w:rPr>
          <w:rFonts w:ascii="Garamond" w:hAnsi="Garamond" w:cs="Times New Roman"/>
          <w:color w:val="000000"/>
          <w:sz w:val="24"/>
          <w:szCs w:val="24"/>
          <w:lang w:val="sq-AL"/>
        </w:rPr>
        <w:t xml:space="preserve"> </w:t>
      </w:r>
      <w:r w:rsidRPr="00520DB5">
        <w:rPr>
          <w:rFonts w:ascii="Garamond" w:hAnsi="Garamond" w:cs="Times New Roman"/>
          <w:color w:val="000000"/>
          <w:sz w:val="24"/>
          <w:szCs w:val="24"/>
          <w:lang w:val="sq-AL"/>
        </w:rPr>
        <w:t>një sërë interesash publik</w:t>
      </w:r>
      <w:r w:rsidR="009766C1">
        <w:rPr>
          <w:rFonts w:ascii="Garamond" w:hAnsi="Garamond" w:cs="Times New Roman"/>
          <w:color w:val="000000"/>
          <w:sz w:val="24"/>
          <w:szCs w:val="24"/>
          <w:lang w:val="sq-AL"/>
        </w:rPr>
        <w:t>ë,</w:t>
      </w:r>
      <w:r w:rsidRPr="00520DB5">
        <w:rPr>
          <w:rFonts w:ascii="Garamond" w:hAnsi="Garamond" w:cs="Times New Roman"/>
          <w:color w:val="000000"/>
          <w:sz w:val="24"/>
          <w:szCs w:val="24"/>
          <w:lang w:val="sq-AL"/>
        </w:rPr>
        <w:t xml:space="preserve"> si: rritjen e sigurisë në lojërat e fatit me anë të një kontrolli më </w:t>
      </w:r>
      <w:proofErr w:type="spellStart"/>
      <w:r w:rsidRPr="00520DB5">
        <w:rPr>
          <w:rFonts w:ascii="Garamond" w:hAnsi="Garamond" w:cs="Times New Roman"/>
          <w:color w:val="000000"/>
          <w:sz w:val="24"/>
          <w:szCs w:val="24"/>
          <w:lang w:val="sq-AL"/>
        </w:rPr>
        <w:t>strikt</w:t>
      </w:r>
      <w:proofErr w:type="spellEnd"/>
      <w:r w:rsidRPr="00520DB5">
        <w:rPr>
          <w:rFonts w:ascii="Garamond" w:hAnsi="Garamond" w:cs="Times New Roman"/>
          <w:color w:val="000000"/>
          <w:sz w:val="24"/>
          <w:szCs w:val="24"/>
          <w:lang w:val="sq-AL"/>
        </w:rPr>
        <w:t xml:space="preserve"> ndaj këtij aktiviteti</w:t>
      </w:r>
      <w:r w:rsidR="009766C1">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shtrëngimin e rregullave të licencimit dhe përmirësimin e shpërndarjes gjeografike të licencave</w:t>
      </w:r>
      <w:r w:rsidR="009766C1">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rritjen e të ardhurave të buxhetit të </w:t>
      </w:r>
      <w:r w:rsidR="00E31C5A" w:rsidRPr="00520DB5">
        <w:rPr>
          <w:rFonts w:ascii="Garamond" w:hAnsi="Garamond" w:cs="Times New Roman"/>
          <w:color w:val="000000"/>
          <w:sz w:val="24"/>
          <w:szCs w:val="24"/>
          <w:lang w:val="sq-AL"/>
        </w:rPr>
        <w:t>shtetit</w:t>
      </w:r>
      <w:r w:rsidR="009766C1">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duke rritur taksat</w:t>
      </w:r>
      <w:r w:rsidR="009766C1">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kategorizimin dhe ndarjen e lojërave të fatit dhe mbrojtjen më të mirë të </w:t>
      </w:r>
      <w:proofErr w:type="spellStart"/>
      <w:r w:rsidRPr="00520DB5">
        <w:rPr>
          <w:rFonts w:ascii="Garamond" w:hAnsi="Garamond" w:cs="Times New Roman"/>
          <w:color w:val="000000"/>
          <w:sz w:val="24"/>
          <w:szCs w:val="24"/>
          <w:lang w:val="sq-AL"/>
        </w:rPr>
        <w:t>të</w:t>
      </w:r>
      <w:proofErr w:type="spellEnd"/>
      <w:r w:rsidRPr="00520DB5">
        <w:rPr>
          <w:rFonts w:ascii="Garamond" w:hAnsi="Garamond" w:cs="Times New Roman"/>
          <w:color w:val="000000"/>
          <w:sz w:val="24"/>
          <w:szCs w:val="24"/>
          <w:lang w:val="sq-AL"/>
        </w:rPr>
        <w:t xml:space="preserve"> rinjve. Shtimi i një kriteri të ri pa pasur masa përjashtuese apo diskriminuese ndaj të licencuarve të tjerë, nuk mund të konsiderohej </w:t>
      </w:r>
      <w:proofErr w:type="spellStart"/>
      <w:r w:rsidRPr="00520DB5">
        <w:rPr>
          <w:rFonts w:ascii="Garamond" w:hAnsi="Garamond" w:cs="Times New Roman"/>
          <w:color w:val="000000"/>
          <w:sz w:val="24"/>
          <w:szCs w:val="24"/>
          <w:lang w:val="sq-AL"/>
        </w:rPr>
        <w:t>jokushtetues</w:t>
      </w:r>
      <w:proofErr w:type="spellEnd"/>
      <w:r w:rsidR="009766C1">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përderisa nuk pengohej thelbi i aktivitetit ekonomik apo nuk ndalohej ushtrimi i tij. Të gjithë të licencuarit mund të merrnin një licencë për të operuar makinat me pozicione të ndryshme lojërash, nëse ata përmbushnin kërkesat </w:t>
      </w:r>
      <w:proofErr w:type="spellStart"/>
      <w:r w:rsidRPr="00520DB5">
        <w:rPr>
          <w:rFonts w:ascii="Garamond" w:hAnsi="Garamond" w:cs="Times New Roman"/>
          <w:color w:val="000000"/>
          <w:sz w:val="24"/>
          <w:szCs w:val="24"/>
          <w:lang w:val="sq-AL"/>
        </w:rPr>
        <w:t>statutore</w:t>
      </w:r>
      <w:proofErr w:type="spellEnd"/>
      <w:r w:rsidRPr="00520DB5">
        <w:rPr>
          <w:rFonts w:ascii="Garamond" w:hAnsi="Garamond" w:cs="Times New Roman"/>
          <w:color w:val="000000"/>
          <w:sz w:val="24"/>
          <w:szCs w:val="24"/>
          <w:lang w:val="sq-AL"/>
        </w:rPr>
        <w:t xml:space="preserve">. Duke qenë se ky ishte një aktivitet i ri në vend, autoritetet ishin të detyruar të kontrollonin dhe të parandalonin rritjen e varësisë ndaj lojërave të fatit. Për sa </w:t>
      </w:r>
      <w:r w:rsidR="009766C1">
        <w:rPr>
          <w:rFonts w:ascii="Garamond" w:hAnsi="Garamond" w:cs="Times New Roman"/>
          <w:color w:val="000000"/>
          <w:sz w:val="24"/>
          <w:szCs w:val="24"/>
          <w:lang w:val="sq-AL"/>
        </w:rPr>
        <w:t>u</w:t>
      </w:r>
      <w:r w:rsidRPr="00520DB5">
        <w:rPr>
          <w:rFonts w:ascii="Garamond" w:hAnsi="Garamond" w:cs="Times New Roman"/>
          <w:color w:val="000000"/>
          <w:sz w:val="24"/>
          <w:szCs w:val="24"/>
          <w:lang w:val="sq-AL"/>
        </w:rPr>
        <w:t xml:space="preserve"> përket faktorëve ekonomik</w:t>
      </w:r>
      <w:r w:rsidR="00A903BC">
        <w:rPr>
          <w:rFonts w:ascii="Garamond" w:hAnsi="Garamond" w:cs="Times New Roman"/>
          <w:color w:val="000000"/>
          <w:sz w:val="24"/>
          <w:szCs w:val="24"/>
          <w:lang w:val="sq-AL"/>
        </w:rPr>
        <w:t>ë</w:t>
      </w:r>
      <w:r w:rsidRPr="00520DB5">
        <w:rPr>
          <w:rFonts w:ascii="Garamond" w:hAnsi="Garamond" w:cs="Times New Roman"/>
          <w:color w:val="000000"/>
          <w:sz w:val="24"/>
          <w:szCs w:val="24"/>
          <w:lang w:val="sq-AL"/>
        </w:rPr>
        <w:t xml:space="preserve"> dhe social</w:t>
      </w:r>
      <w:r w:rsidR="00A903BC">
        <w:rPr>
          <w:rFonts w:ascii="Garamond" w:hAnsi="Garamond" w:cs="Times New Roman"/>
          <w:color w:val="000000"/>
          <w:sz w:val="24"/>
          <w:szCs w:val="24"/>
          <w:lang w:val="sq-AL"/>
        </w:rPr>
        <w:t>ë</w:t>
      </w:r>
      <w:r w:rsidRPr="00520DB5">
        <w:rPr>
          <w:rFonts w:ascii="Garamond" w:hAnsi="Garamond" w:cs="Times New Roman"/>
          <w:color w:val="000000"/>
          <w:sz w:val="24"/>
          <w:szCs w:val="24"/>
          <w:lang w:val="sq-AL"/>
        </w:rPr>
        <w:t xml:space="preserve">, ligjvënësi kishte menduar të shtonte një kriter licencimi për ushtrimin e duhur të rolit rregullator të </w:t>
      </w:r>
      <w:r w:rsidR="00221B25" w:rsidRPr="00520DB5">
        <w:rPr>
          <w:rFonts w:ascii="Garamond" w:hAnsi="Garamond" w:cs="Times New Roman"/>
          <w:color w:val="000000"/>
          <w:sz w:val="24"/>
          <w:szCs w:val="24"/>
          <w:lang w:val="sq-AL"/>
        </w:rPr>
        <w:t>shtetit</w:t>
      </w:r>
      <w:r w:rsidRPr="00520DB5">
        <w:rPr>
          <w:rFonts w:ascii="Garamond" w:hAnsi="Garamond" w:cs="Times New Roman"/>
          <w:color w:val="000000"/>
          <w:sz w:val="24"/>
          <w:szCs w:val="24"/>
          <w:lang w:val="sq-AL"/>
        </w:rPr>
        <w:t xml:space="preserve">. </w:t>
      </w:r>
    </w:p>
    <w:p w14:paraId="24C1FD33" w14:textId="4435F163"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6. Në vijim, Gjykata Kushtetuese gjykoi se dispozita nuk kishte për qëllim, që në mënyrë të drejtpërdrejtë apo tërthorazi, të shpronësohej prona përkatëse e të licencuarve. Nëse përmbusheshin kriteret </w:t>
      </w:r>
      <w:proofErr w:type="spellStart"/>
      <w:r w:rsidRPr="00520DB5">
        <w:rPr>
          <w:rFonts w:ascii="Garamond" w:hAnsi="Garamond" w:cs="Times New Roman"/>
          <w:color w:val="000000"/>
          <w:sz w:val="24"/>
          <w:szCs w:val="24"/>
          <w:lang w:val="sq-AL"/>
        </w:rPr>
        <w:t>statutore</w:t>
      </w:r>
      <w:proofErr w:type="spellEnd"/>
      <w:r w:rsidRPr="00520DB5">
        <w:rPr>
          <w:rFonts w:ascii="Garamond" w:hAnsi="Garamond" w:cs="Times New Roman"/>
          <w:color w:val="000000"/>
          <w:sz w:val="24"/>
          <w:szCs w:val="24"/>
          <w:lang w:val="sq-AL"/>
        </w:rPr>
        <w:t xml:space="preserve">, mund të lejohej funksionimi i makinave me pozicione të ndryshme lojërash. </w:t>
      </w:r>
      <w:r w:rsidR="00221B25">
        <w:rPr>
          <w:rFonts w:ascii="Garamond" w:hAnsi="Garamond" w:cs="Times New Roman"/>
          <w:color w:val="000000"/>
          <w:sz w:val="24"/>
          <w:szCs w:val="24"/>
          <w:lang w:val="sq-AL"/>
        </w:rPr>
        <w:t>U</w:t>
      </w:r>
      <w:r w:rsidRPr="00520DB5">
        <w:rPr>
          <w:rFonts w:ascii="Garamond" w:hAnsi="Garamond" w:cs="Times New Roman"/>
          <w:color w:val="000000"/>
          <w:sz w:val="24"/>
          <w:szCs w:val="24"/>
          <w:lang w:val="sq-AL"/>
        </w:rPr>
        <w:t xml:space="preserve"> takonte të licencuarve të shisnin, merrnin me qira apo t’i hiqnin këto makina të lojërave të fatit. Gjithashtu, ligjvënësi kishte parashikuar një periudhë gjashtëmujore</w:t>
      </w:r>
      <w:r w:rsidR="001B4993">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gjatë së cilës të licencuarit mund t’i përdornin këto makina, për të shmangur pasoja negative të menjëhershme. </w:t>
      </w:r>
    </w:p>
    <w:p w14:paraId="411B64E5" w14:textId="364E0685"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7. Gjithashtu, ajo gjykoi se </w:t>
      </w:r>
      <w:r w:rsidR="001B4993" w:rsidRPr="00520DB5">
        <w:rPr>
          <w:rFonts w:ascii="Garamond" w:hAnsi="Garamond" w:cs="Times New Roman"/>
          <w:color w:val="000000"/>
          <w:sz w:val="24"/>
          <w:szCs w:val="24"/>
          <w:lang w:val="sq-AL"/>
        </w:rPr>
        <w:t xml:space="preserve">shoqata </w:t>
      </w:r>
      <w:r w:rsidRPr="00520DB5">
        <w:rPr>
          <w:rFonts w:ascii="Garamond" w:hAnsi="Garamond" w:cs="Times New Roman"/>
          <w:color w:val="000000"/>
          <w:sz w:val="24"/>
          <w:szCs w:val="24"/>
          <w:lang w:val="sq-AL"/>
        </w:rPr>
        <w:t xml:space="preserve">nuk kishte vërtetuar dëmin financiar të pakthyeshëm që do të shkaktohej nga kufizimi i aktivitetit ekonomik të anëtarëve të saj. Dispozita nuk pretendonte të revokonte plotësisht licencën; ajo kufizonte makinat e lojërave të fatit me më shumë së një pozicion lojërash. Pjesa tjetër e licencës, për sa kishte të bënte me makinat e tjera të lojërave, vijonte të ishte e vlefshme. </w:t>
      </w:r>
    </w:p>
    <w:p w14:paraId="7129ED95" w14:textId="45232A43"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LIGJI PËRKATËS VEND</w:t>
      </w:r>
      <w:r w:rsidR="005A0D86">
        <w:rPr>
          <w:rFonts w:ascii="Garamond" w:hAnsi="Garamond" w:cs="Times New Roman"/>
          <w:color w:val="000000"/>
          <w:sz w:val="24"/>
          <w:szCs w:val="24"/>
          <w:lang w:val="sq-AL"/>
        </w:rPr>
        <w:t>Ë</w:t>
      </w:r>
      <w:r w:rsidRPr="00520DB5">
        <w:rPr>
          <w:rFonts w:ascii="Garamond" w:hAnsi="Garamond" w:cs="Times New Roman"/>
          <w:color w:val="000000"/>
          <w:sz w:val="24"/>
          <w:szCs w:val="24"/>
          <w:lang w:val="sq-AL"/>
        </w:rPr>
        <w:t xml:space="preserve">S </w:t>
      </w:r>
    </w:p>
    <w:p w14:paraId="52D2EFA9" w14:textId="1AE16AE4" w:rsidR="00553425" w:rsidRPr="00520DB5" w:rsidRDefault="00553425" w:rsidP="00F67B84">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520DB5">
        <w:rPr>
          <w:rFonts w:ascii="Garamond" w:hAnsi="Garamond" w:cs="Times New Roman"/>
          <w:b/>
          <w:bCs/>
          <w:color w:val="000000"/>
          <w:sz w:val="24"/>
          <w:szCs w:val="24"/>
          <w:lang w:val="sq-AL"/>
        </w:rPr>
        <w:t>A. Kushtetuta e vitit 1998</w:t>
      </w:r>
    </w:p>
    <w:p w14:paraId="38D7AB42" w14:textId="4DFE978D"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8. Pjesa përkatëse e Kushtetutës parashikon</w:t>
      </w:r>
      <w:r w:rsidR="00C729DA">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si më poshtë: </w:t>
      </w:r>
    </w:p>
    <w:p w14:paraId="44D1D95F" w14:textId="77777777"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418CE103" w14:textId="4293A7C1" w:rsidR="00553425" w:rsidRPr="005A0D86" w:rsidRDefault="00C53FE5" w:rsidP="00F67B84">
      <w:pPr>
        <w:autoSpaceDE w:val="0"/>
        <w:autoSpaceDN w:val="0"/>
        <w:adjustRightInd w:val="0"/>
        <w:spacing w:after="0" w:line="240" w:lineRule="auto"/>
        <w:ind w:firstLine="284"/>
        <w:jc w:val="center"/>
        <w:rPr>
          <w:rFonts w:ascii="Garamond" w:hAnsi="Garamond" w:cs="Times New Roman"/>
          <w:color w:val="000000"/>
          <w:sz w:val="24"/>
          <w:szCs w:val="24"/>
          <w:lang w:val="sq-AL"/>
        </w:rPr>
      </w:pPr>
      <w:r>
        <w:rPr>
          <w:rFonts w:ascii="Garamond" w:hAnsi="Garamond" w:cs="Times New Roman"/>
          <w:color w:val="000000"/>
          <w:sz w:val="24"/>
          <w:szCs w:val="24"/>
          <w:lang w:val="sq-AL"/>
        </w:rPr>
        <w:t>“</w:t>
      </w:r>
      <w:r w:rsidR="00553425" w:rsidRPr="005A0D86">
        <w:rPr>
          <w:rFonts w:ascii="Garamond" w:hAnsi="Garamond" w:cs="Times New Roman"/>
          <w:color w:val="000000"/>
          <w:sz w:val="24"/>
          <w:szCs w:val="24"/>
          <w:lang w:val="sq-AL"/>
        </w:rPr>
        <w:t xml:space="preserve">Neni 41 </w:t>
      </w:r>
    </w:p>
    <w:p w14:paraId="54A0FF37" w14:textId="77777777" w:rsidR="00553425" w:rsidRPr="00520DB5" w:rsidRDefault="00553425" w:rsidP="00F67B84">
      <w:pPr>
        <w:autoSpaceDE w:val="0"/>
        <w:autoSpaceDN w:val="0"/>
        <w:adjustRightInd w:val="0"/>
        <w:spacing w:after="0" w:line="240" w:lineRule="auto"/>
        <w:ind w:firstLine="284"/>
        <w:rPr>
          <w:rFonts w:ascii="Garamond" w:hAnsi="Garamond" w:cs="Times New Roman"/>
          <w:b/>
          <w:bCs/>
          <w:color w:val="000000"/>
          <w:sz w:val="24"/>
          <w:szCs w:val="24"/>
          <w:lang w:val="sq-AL"/>
        </w:rPr>
      </w:pPr>
    </w:p>
    <w:p w14:paraId="3F6BB3A0" w14:textId="359774ED" w:rsidR="00553425" w:rsidRPr="00520DB5" w:rsidRDefault="00553425" w:rsidP="00F67B84">
      <w:pPr>
        <w:autoSpaceDE w:val="0"/>
        <w:autoSpaceDN w:val="0"/>
        <w:adjustRightInd w:val="0"/>
        <w:spacing w:after="0" w:line="240" w:lineRule="auto"/>
        <w:ind w:firstLine="284"/>
        <w:rPr>
          <w:rFonts w:ascii="Garamond" w:hAnsi="Garamond" w:cs="Times New Roman"/>
          <w:color w:val="000000"/>
          <w:szCs w:val="24"/>
          <w:lang w:val="sq-AL"/>
        </w:rPr>
      </w:pPr>
      <w:r w:rsidRPr="00520DB5">
        <w:rPr>
          <w:rFonts w:ascii="Garamond" w:hAnsi="Garamond" w:cs="Times New Roman"/>
          <w:color w:val="000000"/>
          <w:szCs w:val="24"/>
          <w:lang w:val="sq-AL"/>
        </w:rPr>
        <w:t xml:space="preserve"> 1. E drejta e pronës private është e garantuar. </w:t>
      </w:r>
    </w:p>
    <w:p w14:paraId="21D6E861" w14:textId="77777777" w:rsidR="00553425" w:rsidRPr="00520DB5" w:rsidRDefault="00553425" w:rsidP="00F67B84">
      <w:pPr>
        <w:autoSpaceDE w:val="0"/>
        <w:autoSpaceDN w:val="0"/>
        <w:adjustRightInd w:val="0"/>
        <w:spacing w:after="0" w:line="240" w:lineRule="auto"/>
        <w:ind w:firstLine="284"/>
        <w:rPr>
          <w:rFonts w:ascii="Garamond" w:hAnsi="Garamond" w:cs="Times New Roman"/>
          <w:color w:val="000000"/>
          <w:szCs w:val="24"/>
          <w:lang w:val="sq-AL"/>
        </w:rPr>
      </w:pPr>
      <w:r w:rsidRPr="00520DB5">
        <w:rPr>
          <w:rFonts w:ascii="Garamond" w:hAnsi="Garamond" w:cs="Times New Roman"/>
          <w:color w:val="000000"/>
          <w:szCs w:val="24"/>
          <w:lang w:val="sq-AL"/>
        </w:rPr>
        <w:t>(...)</w:t>
      </w:r>
    </w:p>
    <w:p w14:paraId="4C9D9041" w14:textId="77777777" w:rsidR="00553425" w:rsidRPr="00520DB5" w:rsidRDefault="00553425" w:rsidP="00F67B84">
      <w:pPr>
        <w:autoSpaceDE w:val="0"/>
        <w:autoSpaceDN w:val="0"/>
        <w:adjustRightInd w:val="0"/>
        <w:spacing w:after="0" w:line="240" w:lineRule="auto"/>
        <w:ind w:firstLine="284"/>
        <w:rPr>
          <w:rFonts w:ascii="Garamond" w:hAnsi="Garamond" w:cs="Times New Roman"/>
          <w:color w:val="000000"/>
          <w:szCs w:val="24"/>
          <w:lang w:val="sq-AL"/>
        </w:rPr>
      </w:pPr>
      <w:r w:rsidRPr="00520DB5">
        <w:rPr>
          <w:rFonts w:ascii="Garamond" w:hAnsi="Garamond" w:cs="Times New Roman"/>
          <w:color w:val="000000"/>
          <w:szCs w:val="24"/>
          <w:lang w:val="sq-AL"/>
        </w:rPr>
        <w:t xml:space="preserve">4. Shpronësimet ose ato kufizime të së drejtës së pronës që barazohen me shpronësimin, lejohen vetëm përkundrejt një shpërblimi të drejtë. </w:t>
      </w:r>
    </w:p>
    <w:p w14:paraId="53B3DE3C" w14:textId="688690EF" w:rsidR="00553425" w:rsidRPr="00520DB5" w:rsidRDefault="00553425" w:rsidP="00F67B84">
      <w:pPr>
        <w:autoSpaceDE w:val="0"/>
        <w:autoSpaceDN w:val="0"/>
        <w:adjustRightInd w:val="0"/>
        <w:spacing w:after="0" w:line="240" w:lineRule="auto"/>
        <w:ind w:firstLine="284"/>
        <w:rPr>
          <w:rFonts w:ascii="Garamond" w:hAnsi="Garamond" w:cs="Times New Roman"/>
          <w:color w:val="000000"/>
          <w:szCs w:val="24"/>
          <w:lang w:val="sq-AL"/>
        </w:rPr>
      </w:pPr>
      <w:r w:rsidRPr="00520DB5">
        <w:rPr>
          <w:rFonts w:ascii="Garamond" w:hAnsi="Garamond" w:cs="Times New Roman"/>
          <w:color w:val="000000"/>
          <w:szCs w:val="24"/>
          <w:lang w:val="sq-AL"/>
        </w:rPr>
        <w:t>5. Për mosmarrëveshjet lidhur me masën e shpërblimit mund të bëhet ankim në gjykatë.”</w:t>
      </w:r>
      <w:r w:rsidR="00482735">
        <w:rPr>
          <w:rFonts w:ascii="Garamond" w:hAnsi="Garamond" w:cs="Times New Roman"/>
          <w:color w:val="000000"/>
          <w:szCs w:val="24"/>
          <w:lang w:val="sq-AL"/>
        </w:rPr>
        <w:t>.</w:t>
      </w:r>
    </w:p>
    <w:p w14:paraId="36618EB8" w14:textId="77777777" w:rsidR="00553425" w:rsidRPr="00520DB5" w:rsidRDefault="00553425" w:rsidP="00F67B84">
      <w:pPr>
        <w:autoSpaceDE w:val="0"/>
        <w:autoSpaceDN w:val="0"/>
        <w:adjustRightInd w:val="0"/>
        <w:spacing w:after="0" w:line="240" w:lineRule="auto"/>
        <w:ind w:firstLine="284"/>
        <w:rPr>
          <w:rFonts w:ascii="Garamond" w:hAnsi="Garamond" w:cs="Times New Roman"/>
          <w:color w:val="000000"/>
          <w:sz w:val="24"/>
          <w:szCs w:val="24"/>
          <w:lang w:val="sq-AL"/>
        </w:rPr>
      </w:pPr>
    </w:p>
    <w:p w14:paraId="57AD0A66" w14:textId="13768A59" w:rsidR="00553425" w:rsidRPr="00520DB5" w:rsidRDefault="00553425" w:rsidP="00F67B84">
      <w:pPr>
        <w:autoSpaceDE w:val="0"/>
        <w:autoSpaceDN w:val="0"/>
        <w:adjustRightInd w:val="0"/>
        <w:spacing w:after="0" w:line="240" w:lineRule="auto"/>
        <w:ind w:firstLine="284"/>
        <w:rPr>
          <w:rFonts w:ascii="Garamond" w:hAnsi="Garamond" w:cs="Times New Roman"/>
          <w:color w:val="000000"/>
          <w:sz w:val="24"/>
          <w:szCs w:val="24"/>
          <w:lang w:val="sq-AL"/>
        </w:rPr>
      </w:pPr>
      <w:r w:rsidRPr="00520DB5">
        <w:rPr>
          <w:rFonts w:ascii="Garamond" w:hAnsi="Garamond" w:cs="Times New Roman"/>
          <w:color w:val="000000"/>
          <w:sz w:val="24"/>
          <w:szCs w:val="24"/>
          <w:lang w:val="sq-AL"/>
        </w:rPr>
        <w:t>9. Neni 122 parashikon</w:t>
      </w:r>
      <w:r w:rsidR="00482735">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se</w:t>
      </w:r>
      <w:r w:rsidR="00482735">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“një marrëveshje ndërkombëtare, e ratifikuar, përbën pjesë të sistemit të brendshëm juridik...”. Një marrëveshje e tillë ndërkombëtare zbatohet në mënyrë të drejtpërdrejtë dhe mbizotëron ndaj legjislacionit të brendshëm me të cilin bie ndesh. </w:t>
      </w:r>
    </w:p>
    <w:p w14:paraId="318C7604" w14:textId="0BD50BF7" w:rsidR="00553425" w:rsidRPr="00520DB5" w:rsidRDefault="00553425" w:rsidP="00F67B84">
      <w:pPr>
        <w:autoSpaceDE w:val="0"/>
        <w:autoSpaceDN w:val="0"/>
        <w:adjustRightInd w:val="0"/>
        <w:spacing w:after="0" w:line="240" w:lineRule="auto"/>
        <w:ind w:firstLine="284"/>
        <w:rPr>
          <w:rFonts w:ascii="Garamond" w:hAnsi="Garamond" w:cs="Times New Roman"/>
          <w:b/>
          <w:bCs/>
          <w:color w:val="000000"/>
          <w:sz w:val="24"/>
          <w:szCs w:val="24"/>
          <w:lang w:val="sq-AL"/>
        </w:rPr>
      </w:pPr>
      <w:r w:rsidRPr="00520DB5">
        <w:rPr>
          <w:rFonts w:ascii="Garamond" w:hAnsi="Garamond" w:cs="Times New Roman"/>
          <w:b/>
          <w:bCs/>
          <w:color w:val="000000"/>
          <w:sz w:val="24"/>
          <w:szCs w:val="24"/>
          <w:lang w:val="sq-AL"/>
        </w:rPr>
        <w:t xml:space="preserve">B. Kodi Civil i vitit 1994 </w:t>
      </w:r>
    </w:p>
    <w:p w14:paraId="10BE8F94" w14:textId="030E1FDD" w:rsidR="00553425" w:rsidRPr="00520DB5" w:rsidRDefault="00553425" w:rsidP="00F67B84">
      <w:pPr>
        <w:autoSpaceDE w:val="0"/>
        <w:autoSpaceDN w:val="0"/>
        <w:adjustRightInd w:val="0"/>
        <w:spacing w:after="0" w:line="240" w:lineRule="auto"/>
        <w:ind w:firstLine="284"/>
        <w:rPr>
          <w:rFonts w:ascii="Garamond" w:hAnsi="Garamond" w:cs="Times New Roman"/>
          <w:color w:val="000000"/>
          <w:sz w:val="24"/>
          <w:szCs w:val="24"/>
          <w:lang w:val="sq-AL"/>
        </w:rPr>
      </w:pPr>
      <w:r w:rsidRPr="00520DB5">
        <w:rPr>
          <w:rFonts w:ascii="Garamond" w:hAnsi="Garamond" w:cs="Times New Roman"/>
          <w:color w:val="000000"/>
          <w:sz w:val="24"/>
          <w:szCs w:val="24"/>
          <w:lang w:val="sq-AL"/>
        </w:rPr>
        <w:t>10. Pjesa përkatëse e Kodit Civil parashikon</w:t>
      </w:r>
      <w:r w:rsidR="00790038">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si më poshtë: </w:t>
      </w:r>
    </w:p>
    <w:p w14:paraId="7996E087" w14:textId="77777777" w:rsidR="00553425" w:rsidRPr="00520DB5" w:rsidRDefault="00553425" w:rsidP="00F67B84">
      <w:pPr>
        <w:autoSpaceDE w:val="0"/>
        <w:autoSpaceDN w:val="0"/>
        <w:adjustRightInd w:val="0"/>
        <w:spacing w:after="0" w:line="240" w:lineRule="auto"/>
        <w:ind w:firstLine="284"/>
        <w:rPr>
          <w:rFonts w:ascii="Garamond" w:hAnsi="Garamond" w:cs="Times New Roman"/>
          <w:color w:val="000000"/>
          <w:sz w:val="24"/>
          <w:szCs w:val="24"/>
          <w:lang w:val="sq-AL"/>
        </w:rPr>
      </w:pPr>
    </w:p>
    <w:p w14:paraId="2C308AFD" w14:textId="79319D9F" w:rsidR="00553425" w:rsidRPr="00790038" w:rsidRDefault="00790038" w:rsidP="00F67B84">
      <w:pPr>
        <w:autoSpaceDE w:val="0"/>
        <w:autoSpaceDN w:val="0"/>
        <w:adjustRightInd w:val="0"/>
        <w:spacing w:after="0" w:line="240" w:lineRule="auto"/>
        <w:ind w:firstLine="284"/>
        <w:jc w:val="center"/>
        <w:rPr>
          <w:rFonts w:ascii="Garamond" w:hAnsi="Garamond" w:cs="Times New Roman"/>
          <w:color w:val="000000"/>
          <w:sz w:val="24"/>
          <w:szCs w:val="24"/>
          <w:lang w:val="sq-AL"/>
        </w:rPr>
      </w:pPr>
      <w:r>
        <w:rPr>
          <w:rFonts w:ascii="Garamond" w:hAnsi="Garamond" w:cs="Times New Roman"/>
          <w:color w:val="000000"/>
          <w:sz w:val="24"/>
          <w:szCs w:val="24"/>
          <w:lang w:val="sq-AL"/>
        </w:rPr>
        <w:t>“</w:t>
      </w:r>
      <w:r w:rsidR="00553425" w:rsidRPr="00790038">
        <w:rPr>
          <w:rFonts w:ascii="Garamond" w:hAnsi="Garamond" w:cs="Times New Roman"/>
          <w:color w:val="000000"/>
          <w:sz w:val="24"/>
          <w:szCs w:val="24"/>
          <w:lang w:val="sq-AL"/>
        </w:rPr>
        <w:t>Neni 190</w:t>
      </w:r>
    </w:p>
    <w:p w14:paraId="5D50CDC5" w14:textId="77777777" w:rsidR="00553425" w:rsidRPr="00520DB5" w:rsidRDefault="00553425" w:rsidP="00F67B84">
      <w:pPr>
        <w:autoSpaceDE w:val="0"/>
        <w:autoSpaceDN w:val="0"/>
        <w:adjustRightInd w:val="0"/>
        <w:spacing w:after="0" w:line="240" w:lineRule="auto"/>
        <w:ind w:firstLine="284"/>
        <w:rPr>
          <w:rFonts w:ascii="Garamond" w:hAnsi="Garamond" w:cs="Times New Roman"/>
          <w:b/>
          <w:bCs/>
          <w:color w:val="000000"/>
          <w:sz w:val="24"/>
          <w:szCs w:val="24"/>
          <w:lang w:val="sq-AL"/>
        </w:rPr>
      </w:pPr>
    </w:p>
    <w:p w14:paraId="7FF2F1CD" w14:textId="30E9F411" w:rsidR="00553425" w:rsidRPr="00520DB5" w:rsidRDefault="00553425" w:rsidP="00F67B84">
      <w:pPr>
        <w:autoSpaceDE w:val="0"/>
        <w:autoSpaceDN w:val="0"/>
        <w:adjustRightInd w:val="0"/>
        <w:spacing w:after="0" w:line="240" w:lineRule="auto"/>
        <w:ind w:firstLine="284"/>
        <w:rPr>
          <w:rFonts w:ascii="Garamond" w:hAnsi="Garamond" w:cs="Times New Roman"/>
          <w:color w:val="000000"/>
          <w:szCs w:val="24"/>
          <w:lang w:val="sq-AL"/>
        </w:rPr>
      </w:pPr>
      <w:r w:rsidRPr="00520DB5">
        <w:rPr>
          <w:rFonts w:ascii="Garamond" w:hAnsi="Garamond" w:cs="Times New Roman"/>
          <w:color w:val="000000"/>
          <w:szCs w:val="24"/>
          <w:lang w:val="sq-AL"/>
        </w:rPr>
        <w:t>Prona mund të shpronësohet vetëm për interesa publik</w:t>
      </w:r>
      <w:r w:rsidR="00790038">
        <w:rPr>
          <w:rFonts w:ascii="Garamond" w:hAnsi="Garamond" w:cs="Times New Roman"/>
          <w:color w:val="000000"/>
          <w:szCs w:val="24"/>
          <w:lang w:val="sq-AL"/>
        </w:rPr>
        <w:t>ë</w:t>
      </w:r>
      <w:r w:rsidRPr="00520DB5">
        <w:rPr>
          <w:rFonts w:ascii="Garamond" w:hAnsi="Garamond" w:cs="Times New Roman"/>
          <w:color w:val="000000"/>
          <w:szCs w:val="24"/>
          <w:lang w:val="sq-AL"/>
        </w:rPr>
        <w:t xml:space="preserve"> të njohur me ligj dhe vetëm kundrejt një shpërblimi të drejtë</w:t>
      </w:r>
      <w:r w:rsidR="00790038">
        <w:rPr>
          <w:rFonts w:ascii="Garamond" w:hAnsi="Garamond" w:cs="Times New Roman"/>
          <w:color w:val="000000"/>
          <w:szCs w:val="24"/>
          <w:lang w:val="sq-AL"/>
        </w:rPr>
        <w:t>.</w:t>
      </w:r>
    </w:p>
    <w:p w14:paraId="2633539D" w14:textId="1A44EBE5" w:rsidR="00553425" w:rsidRPr="00520DB5" w:rsidRDefault="00553425" w:rsidP="00F67B84">
      <w:pPr>
        <w:autoSpaceDE w:val="0"/>
        <w:autoSpaceDN w:val="0"/>
        <w:adjustRightInd w:val="0"/>
        <w:spacing w:after="0" w:line="240" w:lineRule="auto"/>
        <w:ind w:firstLine="284"/>
        <w:rPr>
          <w:rFonts w:ascii="Garamond" w:hAnsi="Garamond" w:cs="Times New Roman"/>
          <w:color w:val="000000"/>
          <w:szCs w:val="24"/>
          <w:lang w:val="sq-AL"/>
        </w:rPr>
      </w:pPr>
      <w:r w:rsidRPr="00520DB5">
        <w:rPr>
          <w:rFonts w:ascii="Garamond" w:hAnsi="Garamond" w:cs="Times New Roman"/>
          <w:color w:val="000000"/>
          <w:szCs w:val="24"/>
          <w:lang w:val="sq-AL"/>
        </w:rPr>
        <w:t>(...</w:t>
      </w:r>
      <w:r w:rsidRPr="00520DB5">
        <w:rPr>
          <w:rFonts w:ascii="Garamond" w:hAnsi="Garamond" w:cs="Calibri"/>
          <w:color w:val="000000"/>
          <w:szCs w:val="24"/>
          <w:lang w:val="sq-AL"/>
        </w:rPr>
        <w:t>)</w:t>
      </w:r>
      <w:r w:rsidRPr="00520DB5">
        <w:rPr>
          <w:rFonts w:ascii="Garamond" w:hAnsi="Garamond" w:cs="Times New Roman"/>
          <w:color w:val="000000"/>
          <w:szCs w:val="24"/>
          <w:lang w:val="sq-AL"/>
        </w:rPr>
        <w:t>”</w:t>
      </w:r>
      <w:r w:rsidR="00790038">
        <w:rPr>
          <w:rFonts w:ascii="Garamond" w:hAnsi="Garamond" w:cs="Times New Roman"/>
          <w:color w:val="000000"/>
          <w:szCs w:val="24"/>
          <w:lang w:val="sq-AL"/>
        </w:rPr>
        <w:t>.</w:t>
      </w:r>
    </w:p>
    <w:p w14:paraId="2AC5CA3E" w14:textId="5ADF833C" w:rsidR="00553425" w:rsidRPr="00520DB5" w:rsidRDefault="00553425" w:rsidP="00F67B84">
      <w:pPr>
        <w:autoSpaceDE w:val="0"/>
        <w:autoSpaceDN w:val="0"/>
        <w:adjustRightInd w:val="0"/>
        <w:spacing w:after="0" w:line="240" w:lineRule="auto"/>
        <w:ind w:firstLine="284"/>
        <w:rPr>
          <w:rFonts w:ascii="Garamond" w:hAnsi="Garamond" w:cs="Times New Roman"/>
          <w:b/>
          <w:bCs/>
          <w:color w:val="000000"/>
          <w:sz w:val="24"/>
          <w:szCs w:val="24"/>
          <w:lang w:val="sq-AL"/>
        </w:rPr>
      </w:pPr>
      <w:r w:rsidRPr="00520DB5">
        <w:rPr>
          <w:rFonts w:ascii="Garamond" w:hAnsi="Garamond" w:cs="Times New Roman"/>
          <w:b/>
          <w:bCs/>
          <w:color w:val="000000"/>
          <w:sz w:val="24"/>
          <w:szCs w:val="24"/>
          <w:lang w:val="sq-AL"/>
        </w:rPr>
        <w:lastRenderedPageBreak/>
        <w:t xml:space="preserve">C. Ligji nr. 8510 i datës 15 </w:t>
      </w:r>
      <w:r w:rsidR="00CF13A6" w:rsidRPr="00520DB5">
        <w:rPr>
          <w:rFonts w:ascii="Garamond" w:hAnsi="Garamond" w:cs="Times New Roman"/>
          <w:b/>
          <w:bCs/>
          <w:color w:val="000000"/>
          <w:sz w:val="24"/>
          <w:szCs w:val="24"/>
          <w:lang w:val="sq-AL"/>
        </w:rPr>
        <w:t xml:space="preserve">korrik </w:t>
      </w:r>
      <w:r w:rsidRPr="00520DB5">
        <w:rPr>
          <w:rFonts w:ascii="Garamond" w:hAnsi="Garamond" w:cs="Times New Roman"/>
          <w:b/>
          <w:bCs/>
          <w:color w:val="000000"/>
          <w:sz w:val="24"/>
          <w:szCs w:val="24"/>
          <w:lang w:val="sq-AL"/>
        </w:rPr>
        <w:t xml:space="preserve">1999 për përgjegjësinë </w:t>
      </w:r>
      <w:proofErr w:type="spellStart"/>
      <w:r w:rsidRPr="00520DB5">
        <w:rPr>
          <w:rFonts w:ascii="Garamond" w:hAnsi="Garamond" w:cs="Times New Roman"/>
          <w:b/>
          <w:bCs/>
          <w:color w:val="000000"/>
          <w:sz w:val="24"/>
          <w:szCs w:val="24"/>
          <w:lang w:val="sq-AL"/>
        </w:rPr>
        <w:t>jokontraktuale</w:t>
      </w:r>
      <w:proofErr w:type="spellEnd"/>
      <w:r w:rsidRPr="00520DB5">
        <w:rPr>
          <w:rFonts w:ascii="Garamond" w:hAnsi="Garamond" w:cs="Times New Roman"/>
          <w:b/>
          <w:bCs/>
          <w:color w:val="000000"/>
          <w:sz w:val="24"/>
          <w:szCs w:val="24"/>
          <w:lang w:val="sq-AL"/>
        </w:rPr>
        <w:t xml:space="preserve"> të institucioneve të administratës </w:t>
      </w:r>
      <w:r w:rsidR="000563C1" w:rsidRPr="00520DB5">
        <w:rPr>
          <w:rFonts w:ascii="Garamond" w:hAnsi="Garamond" w:cs="Times New Roman"/>
          <w:b/>
          <w:bCs/>
          <w:color w:val="000000"/>
          <w:sz w:val="24"/>
          <w:szCs w:val="24"/>
          <w:lang w:val="sq-AL"/>
        </w:rPr>
        <w:t>shtetërore</w:t>
      </w:r>
    </w:p>
    <w:p w14:paraId="098196C7" w14:textId="74849CEF"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11. Nenet 1 dhe 3 të atij </w:t>
      </w:r>
      <w:r w:rsidR="000563C1" w:rsidRPr="00520DB5">
        <w:rPr>
          <w:rFonts w:ascii="Garamond" w:hAnsi="Garamond" w:cs="Times New Roman"/>
          <w:color w:val="000000"/>
          <w:sz w:val="24"/>
          <w:szCs w:val="24"/>
          <w:lang w:val="sq-AL"/>
        </w:rPr>
        <w:t xml:space="preserve">ligji </w:t>
      </w:r>
      <w:r w:rsidRPr="00520DB5">
        <w:rPr>
          <w:rFonts w:ascii="Garamond" w:hAnsi="Garamond" w:cs="Times New Roman"/>
          <w:color w:val="000000"/>
          <w:sz w:val="24"/>
          <w:szCs w:val="24"/>
          <w:lang w:val="sq-AL"/>
        </w:rPr>
        <w:t xml:space="preserve">(ndryshuar me </w:t>
      </w:r>
      <w:r w:rsidR="000563C1" w:rsidRPr="00520DB5">
        <w:rPr>
          <w:rFonts w:ascii="Garamond" w:hAnsi="Garamond" w:cs="Times New Roman"/>
          <w:color w:val="000000"/>
          <w:sz w:val="24"/>
          <w:szCs w:val="24"/>
          <w:lang w:val="sq-AL"/>
        </w:rPr>
        <w:t xml:space="preserve">ligjin </w:t>
      </w:r>
      <w:r w:rsidRPr="00520DB5">
        <w:rPr>
          <w:rFonts w:ascii="Garamond" w:hAnsi="Garamond" w:cs="Times New Roman"/>
          <w:color w:val="000000"/>
          <w:sz w:val="24"/>
          <w:szCs w:val="24"/>
          <w:lang w:val="sq-AL"/>
        </w:rPr>
        <w:t xml:space="preserve">nr. 10005 të datës 23 </w:t>
      </w:r>
      <w:r w:rsidR="000563C1" w:rsidRPr="00520DB5">
        <w:rPr>
          <w:rFonts w:ascii="Garamond" w:hAnsi="Garamond" w:cs="Times New Roman"/>
          <w:color w:val="000000"/>
          <w:sz w:val="24"/>
          <w:szCs w:val="24"/>
          <w:lang w:val="sq-AL"/>
        </w:rPr>
        <w:t xml:space="preserve">tetor </w:t>
      </w:r>
      <w:r w:rsidRPr="00520DB5">
        <w:rPr>
          <w:rFonts w:ascii="Garamond" w:hAnsi="Garamond" w:cs="Times New Roman"/>
          <w:color w:val="000000"/>
          <w:sz w:val="24"/>
          <w:szCs w:val="24"/>
          <w:lang w:val="sq-AL"/>
        </w:rPr>
        <w:t xml:space="preserve">2008) parashikojnë se </w:t>
      </w:r>
      <w:r w:rsidR="000E4432" w:rsidRPr="00520DB5">
        <w:rPr>
          <w:rFonts w:ascii="Garamond" w:hAnsi="Garamond" w:cs="Times New Roman"/>
          <w:color w:val="000000"/>
          <w:sz w:val="24"/>
          <w:szCs w:val="24"/>
          <w:lang w:val="sq-AL"/>
        </w:rPr>
        <w:t xml:space="preserve">shteti </w:t>
      </w:r>
      <w:r w:rsidRPr="00520DB5">
        <w:rPr>
          <w:rFonts w:ascii="Garamond" w:hAnsi="Garamond" w:cs="Times New Roman"/>
          <w:color w:val="000000"/>
          <w:sz w:val="24"/>
          <w:szCs w:val="24"/>
          <w:lang w:val="sq-AL"/>
        </w:rPr>
        <w:t xml:space="preserve">është përgjegjës për dëmin pasuror dhe </w:t>
      </w:r>
      <w:proofErr w:type="spellStart"/>
      <w:r w:rsidRPr="00520DB5">
        <w:rPr>
          <w:rFonts w:ascii="Garamond" w:hAnsi="Garamond" w:cs="Times New Roman"/>
          <w:color w:val="000000"/>
          <w:sz w:val="24"/>
          <w:szCs w:val="24"/>
          <w:lang w:val="sq-AL"/>
        </w:rPr>
        <w:t>jopasuror</w:t>
      </w:r>
      <w:proofErr w:type="spellEnd"/>
      <w:r w:rsidRPr="00520DB5">
        <w:rPr>
          <w:rFonts w:ascii="Garamond" w:hAnsi="Garamond" w:cs="Times New Roman"/>
          <w:color w:val="000000"/>
          <w:sz w:val="24"/>
          <w:szCs w:val="24"/>
          <w:lang w:val="sq-AL"/>
        </w:rPr>
        <w:t xml:space="preserve"> </w:t>
      </w:r>
      <w:proofErr w:type="spellStart"/>
      <w:r w:rsidRPr="00520DB5">
        <w:rPr>
          <w:rFonts w:ascii="Garamond" w:hAnsi="Garamond" w:cs="Times New Roman"/>
          <w:color w:val="000000"/>
          <w:sz w:val="24"/>
          <w:szCs w:val="24"/>
          <w:lang w:val="sq-AL"/>
        </w:rPr>
        <w:t>jokontraktual</w:t>
      </w:r>
      <w:proofErr w:type="spellEnd"/>
      <w:r w:rsidR="00EA435C">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shkaktuar ndaj personave fizikë ose juridikë, vend</w:t>
      </w:r>
      <w:r w:rsidR="00EA435C">
        <w:rPr>
          <w:rFonts w:ascii="Garamond" w:hAnsi="Garamond" w:cs="Times New Roman"/>
          <w:color w:val="000000"/>
          <w:sz w:val="24"/>
          <w:szCs w:val="24"/>
          <w:lang w:val="sq-AL"/>
        </w:rPr>
        <w:t>ë</w:t>
      </w:r>
      <w:r w:rsidRPr="00520DB5">
        <w:rPr>
          <w:rFonts w:ascii="Garamond" w:hAnsi="Garamond" w:cs="Times New Roman"/>
          <w:color w:val="000000"/>
          <w:sz w:val="24"/>
          <w:szCs w:val="24"/>
          <w:lang w:val="sq-AL"/>
        </w:rPr>
        <w:t xml:space="preserve">s apo të huaj. Organet shtetërore kanë detyrimin për të kompensuar dëmin, </w:t>
      </w:r>
      <w:proofErr w:type="spellStart"/>
      <w:r w:rsidRPr="00520DB5">
        <w:rPr>
          <w:rFonts w:ascii="Garamond" w:hAnsi="Garamond" w:cs="Times New Roman"/>
          <w:i/>
          <w:iCs/>
          <w:color w:val="000000"/>
          <w:sz w:val="24"/>
          <w:szCs w:val="24"/>
          <w:lang w:val="sq-AL"/>
        </w:rPr>
        <w:t>inter</w:t>
      </w:r>
      <w:proofErr w:type="spellEnd"/>
      <w:r w:rsidRPr="00520DB5">
        <w:rPr>
          <w:rFonts w:ascii="Garamond" w:hAnsi="Garamond" w:cs="Times New Roman"/>
          <w:i/>
          <w:iCs/>
          <w:color w:val="000000"/>
          <w:sz w:val="24"/>
          <w:szCs w:val="24"/>
          <w:lang w:val="sq-AL"/>
        </w:rPr>
        <w:t xml:space="preserve"> </w:t>
      </w:r>
      <w:proofErr w:type="spellStart"/>
      <w:r w:rsidRPr="00520DB5">
        <w:rPr>
          <w:rFonts w:ascii="Garamond" w:hAnsi="Garamond" w:cs="Times New Roman"/>
          <w:i/>
          <w:iCs/>
          <w:color w:val="000000"/>
          <w:sz w:val="24"/>
          <w:szCs w:val="24"/>
          <w:lang w:val="sq-AL"/>
        </w:rPr>
        <w:t>alia</w:t>
      </w:r>
      <w:proofErr w:type="spellEnd"/>
      <w:r w:rsidRPr="00520DB5">
        <w:rPr>
          <w:rFonts w:ascii="Garamond" w:hAnsi="Garamond" w:cs="Times New Roman"/>
          <w:color w:val="000000"/>
          <w:sz w:val="24"/>
          <w:szCs w:val="24"/>
          <w:lang w:val="sq-AL"/>
        </w:rPr>
        <w:t xml:space="preserve">, nëse me anë të ushtrimit të funksioneve të tyre publike, veprimet ose mosveprimet e tyre të ligjshme shkaktojnë dëm ndaj interesave të ligjshëm të personave privatë fizikë ose juridikë. </w:t>
      </w:r>
    </w:p>
    <w:p w14:paraId="53CC5147" w14:textId="77777777"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VLERËSIMI I GJYKATËS </w:t>
      </w:r>
    </w:p>
    <w:p w14:paraId="00FE3FD4" w14:textId="34210F9F" w:rsidR="00553425" w:rsidRPr="00520DB5" w:rsidRDefault="00553425" w:rsidP="00F67B84">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520DB5">
        <w:rPr>
          <w:rFonts w:ascii="Garamond" w:hAnsi="Garamond" w:cs="Times New Roman"/>
          <w:b/>
          <w:bCs/>
          <w:color w:val="000000"/>
          <w:sz w:val="24"/>
          <w:szCs w:val="24"/>
          <w:lang w:val="sq-AL"/>
        </w:rPr>
        <w:t xml:space="preserve">A. Neni 1 i </w:t>
      </w:r>
      <w:r w:rsidR="0022692D" w:rsidRPr="00520DB5">
        <w:rPr>
          <w:rFonts w:ascii="Garamond" w:hAnsi="Garamond" w:cs="Times New Roman"/>
          <w:b/>
          <w:bCs/>
          <w:color w:val="000000"/>
          <w:sz w:val="24"/>
          <w:szCs w:val="24"/>
          <w:lang w:val="sq-AL"/>
        </w:rPr>
        <w:t>protokollit nr</w:t>
      </w:r>
      <w:r w:rsidRPr="00520DB5">
        <w:rPr>
          <w:rFonts w:ascii="Garamond" w:hAnsi="Garamond" w:cs="Times New Roman"/>
          <w:b/>
          <w:bCs/>
          <w:color w:val="000000"/>
          <w:sz w:val="24"/>
          <w:szCs w:val="24"/>
          <w:lang w:val="sq-AL"/>
        </w:rPr>
        <w:t xml:space="preserve">. 1 </w:t>
      </w:r>
      <w:r w:rsidR="007C2EDE">
        <w:rPr>
          <w:rFonts w:ascii="Garamond" w:hAnsi="Garamond" w:cs="Times New Roman"/>
          <w:b/>
          <w:bCs/>
          <w:color w:val="000000"/>
          <w:sz w:val="24"/>
          <w:szCs w:val="24"/>
          <w:lang w:val="sq-AL"/>
        </w:rPr>
        <w:t xml:space="preserve">të </w:t>
      </w:r>
      <w:r w:rsidRPr="00520DB5">
        <w:rPr>
          <w:rFonts w:ascii="Garamond" w:hAnsi="Garamond" w:cs="Times New Roman"/>
          <w:b/>
          <w:bCs/>
          <w:color w:val="000000"/>
          <w:sz w:val="24"/>
          <w:szCs w:val="24"/>
          <w:lang w:val="sq-AL"/>
        </w:rPr>
        <w:t xml:space="preserve">Konventës </w:t>
      </w:r>
    </w:p>
    <w:p w14:paraId="137B8874" w14:textId="3637D883"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12. Qeveria vlerësonte se kërkuesit nuk kishin shteruar në mënyrën e duhur mjetet e brendshme, sepse ata kishin kërkuar kompensim përpara gjykatave vend</w:t>
      </w:r>
      <w:r w:rsidR="00CE3073">
        <w:rPr>
          <w:rFonts w:ascii="Garamond" w:hAnsi="Garamond" w:cs="Times New Roman"/>
          <w:color w:val="000000"/>
          <w:sz w:val="24"/>
          <w:szCs w:val="24"/>
          <w:lang w:val="sq-AL"/>
        </w:rPr>
        <w:t>ë</w:t>
      </w:r>
      <w:r w:rsidRPr="00520DB5">
        <w:rPr>
          <w:rFonts w:ascii="Garamond" w:hAnsi="Garamond" w:cs="Times New Roman"/>
          <w:color w:val="000000"/>
          <w:sz w:val="24"/>
          <w:szCs w:val="24"/>
          <w:lang w:val="sq-AL"/>
        </w:rPr>
        <w:t xml:space="preserve">se për çdo humbje financiare, apo humbje tjetër, që kishin pësuar. </w:t>
      </w:r>
    </w:p>
    <w:p w14:paraId="052E9855" w14:textId="7C15904C"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13. Kërkuesit argumentuan se legjislacioni që kundërshtohej nuk parashikonte mundësitë për apelim ndaj revokimit të licencës së kompanisë kërkuese. Gjithashtu, ata argumentuan se kompensimi ishte i mundur vetëm për aktet e paligjshme administrative dhe se ndërhyrja në të drejtën e tyre për gëzimin paqësor të pasurive të tyre ishte e mbështetur në ligj, duke e bërë të pamundur që ata të kërkonin kompensim. </w:t>
      </w:r>
    </w:p>
    <w:p w14:paraId="6796A9F7" w14:textId="6D5CFF1D"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14. Parimet e përgjithshme për shterimin e mjeteve të brendshme përmblidhen në vendimin </w:t>
      </w:r>
      <w:proofErr w:type="spellStart"/>
      <w:r w:rsidRPr="00520DB5">
        <w:rPr>
          <w:rFonts w:ascii="Garamond" w:hAnsi="Garamond" w:cs="Times New Roman"/>
          <w:i/>
          <w:iCs/>
          <w:color w:val="000000"/>
          <w:sz w:val="24"/>
          <w:szCs w:val="24"/>
          <w:lang w:val="sq-AL"/>
        </w:rPr>
        <w:t>Vučković</w:t>
      </w:r>
      <w:proofErr w:type="spellEnd"/>
      <w:r w:rsidRPr="00520DB5">
        <w:rPr>
          <w:rFonts w:ascii="Garamond" w:hAnsi="Garamond" w:cs="Times New Roman"/>
          <w:i/>
          <w:iCs/>
          <w:color w:val="000000"/>
          <w:sz w:val="24"/>
          <w:szCs w:val="24"/>
          <w:lang w:val="sq-AL"/>
        </w:rPr>
        <w:t xml:space="preserve"> dhe të Tjerë kundër Serbisë </w:t>
      </w:r>
      <w:r w:rsidRPr="00520DB5">
        <w:rPr>
          <w:rFonts w:ascii="Garamond" w:hAnsi="Garamond" w:cs="Times New Roman"/>
          <w:color w:val="000000"/>
          <w:sz w:val="24"/>
          <w:szCs w:val="24"/>
          <w:lang w:val="sq-AL"/>
        </w:rPr>
        <w:t>([</w:t>
      </w:r>
      <w:proofErr w:type="spellStart"/>
      <w:r w:rsidRPr="00520DB5">
        <w:rPr>
          <w:rFonts w:ascii="Garamond" w:hAnsi="Garamond" w:cs="Times New Roman"/>
          <w:color w:val="000000"/>
          <w:sz w:val="24"/>
          <w:szCs w:val="24"/>
          <w:lang w:val="sq-AL"/>
        </w:rPr>
        <w:t>DHM</w:t>
      </w:r>
      <w:proofErr w:type="spellEnd"/>
      <w:r w:rsidRPr="00520DB5">
        <w:rPr>
          <w:rFonts w:ascii="Garamond" w:hAnsi="Garamond" w:cs="Times New Roman"/>
          <w:color w:val="000000"/>
          <w:sz w:val="24"/>
          <w:szCs w:val="24"/>
          <w:lang w:val="sq-AL"/>
        </w:rPr>
        <w:t>], nr. 17153/11 dhe 29 të tjerë, §§ 69</w:t>
      </w:r>
      <w:r w:rsidR="00CE3073">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77, 25 </w:t>
      </w:r>
      <w:r w:rsidR="00CE3073" w:rsidRPr="00520DB5">
        <w:rPr>
          <w:rFonts w:ascii="Garamond" w:hAnsi="Garamond" w:cs="Times New Roman"/>
          <w:color w:val="000000"/>
          <w:sz w:val="24"/>
          <w:szCs w:val="24"/>
          <w:lang w:val="sq-AL"/>
        </w:rPr>
        <w:t xml:space="preserve">mars </w:t>
      </w:r>
      <w:r w:rsidRPr="00520DB5">
        <w:rPr>
          <w:rFonts w:ascii="Garamond" w:hAnsi="Garamond" w:cs="Times New Roman"/>
          <w:color w:val="000000"/>
          <w:sz w:val="24"/>
          <w:szCs w:val="24"/>
          <w:lang w:val="sq-AL"/>
        </w:rPr>
        <w:t xml:space="preserve">2014, dhe </w:t>
      </w:r>
      <w:proofErr w:type="spellStart"/>
      <w:r w:rsidRPr="00520DB5">
        <w:rPr>
          <w:rFonts w:ascii="Garamond" w:hAnsi="Garamond" w:cs="Times New Roman"/>
          <w:i/>
          <w:iCs/>
          <w:color w:val="000000"/>
          <w:sz w:val="24"/>
          <w:szCs w:val="24"/>
          <w:lang w:val="sq-AL"/>
        </w:rPr>
        <w:t>Gherghina</w:t>
      </w:r>
      <w:proofErr w:type="spellEnd"/>
      <w:r w:rsidRPr="00520DB5">
        <w:rPr>
          <w:rFonts w:ascii="Garamond" w:hAnsi="Garamond" w:cs="Times New Roman"/>
          <w:i/>
          <w:iCs/>
          <w:color w:val="000000"/>
          <w:sz w:val="24"/>
          <w:szCs w:val="24"/>
          <w:lang w:val="sq-AL"/>
        </w:rPr>
        <w:t xml:space="preserve"> kundër Rumanisë </w:t>
      </w:r>
      <w:r w:rsidRPr="00520DB5">
        <w:rPr>
          <w:rFonts w:ascii="Garamond" w:hAnsi="Garamond" w:cs="Times New Roman"/>
          <w:color w:val="000000"/>
          <w:sz w:val="24"/>
          <w:szCs w:val="24"/>
          <w:lang w:val="sq-AL"/>
        </w:rPr>
        <w:t>((vendim) [</w:t>
      </w:r>
      <w:proofErr w:type="spellStart"/>
      <w:r w:rsidRPr="00520DB5">
        <w:rPr>
          <w:rFonts w:ascii="Garamond" w:hAnsi="Garamond" w:cs="Times New Roman"/>
          <w:color w:val="000000"/>
          <w:sz w:val="24"/>
          <w:szCs w:val="24"/>
          <w:lang w:val="sq-AL"/>
        </w:rPr>
        <w:t>DHM</w:t>
      </w:r>
      <w:proofErr w:type="spellEnd"/>
      <w:r w:rsidRPr="00520DB5">
        <w:rPr>
          <w:rFonts w:ascii="Garamond" w:hAnsi="Garamond" w:cs="Times New Roman"/>
          <w:color w:val="000000"/>
          <w:sz w:val="24"/>
          <w:szCs w:val="24"/>
          <w:lang w:val="sq-AL"/>
        </w:rPr>
        <w:t>], nr. 42219/07, §§ 83</w:t>
      </w:r>
      <w:r w:rsidR="00CC2376">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89, 9 </w:t>
      </w:r>
      <w:r w:rsidR="00CC2376" w:rsidRPr="00520DB5">
        <w:rPr>
          <w:rFonts w:ascii="Garamond" w:hAnsi="Garamond" w:cs="Times New Roman"/>
          <w:color w:val="000000"/>
          <w:sz w:val="24"/>
          <w:szCs w:val="24"/>
          <w:lang w:val="sq-AL"/>
        </w:rPr>
        <w:t xml:space="preserve">korrik </w:t>
      </w:r>
      <w:r w:rsidRPr="00520DB5">
        <w:rPr>
          <w:rFonts w:ascii="Garamond" w:hAnsi="Garamond" w:cs="Times New Roman"/>
          <w:color w:val="000000"/>
          <w:sz w:val="24"/>
          <w:szCs w:val="24"/>
          <w:lang w:val="sq-AL"/>
        </w:rPr>
        <w:t xml:space="preserve">2015). </w:t>
      </w:r>
    </w:p>
    <w:p w14:paraId="1A0349F4" w14:textId="470710E5"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15. Gjykata vlerëson në veçanti</w:t>
      </w:r>
      <w:r w:rsidR="009001C6">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se nëse ekzistojnë një sërë mjetesh të brendshme në fusha të ndryshme të ligjit</w:t>
      </w:r>
      <w:r w:rsidR="009001C6">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që mund të ndjekë një individ, ky person ka të drejtën të zgjedh</w:t>
      </w:r>
      <w:r w:rsidR="009001C6">
        <w:rPr>
          <w:rFonts w:ascii="Garamond" w:hAnsi="Garamond" w:cs="Times New Roman"/>
          <w:color w:val="000000"/>
          <w:sz w:val="24"/>
          <w:szCs w:val="24"/>
          <w:lang w:val="sq-AL"/>
        </w:rPr>
        <w:t>ë</w:t>
      </w:r>
      <w:r w:rsidRPr="00520DB5">
        <w:rPr>
          <w:rFonts w:ascii="Garamond" w:hAnsi="Garamond" w:cs="Times New Roman"/>
          <w:color w:val="000000"/>
          <w:sz w:val="24"/>
          <w:szCs w:val="24"/>
          <w:lang w:val="sq-AL"/>
        </w:rPr>
        <w:t xml:space="preserve"> një mjet që adreson ankesën thelbësore të tij ose të saj. Me fjalë të tjera, nëse është ndjekur një mjet, nuk është e nevojshme që të përdoret një mjet tjetër që në thelb ka të njëjtin objektiv (shih </w:t>
      </w:r>
      <w:proofErr w:type="spellStart"/>
      <w:r w:rsidRPr="00520DB5">
        <w:rPr>
          <w:rFonts w:ascii="Garamond" w:hAnsi="Garamond" w:cs="Times New Roman"/>
          <w:i/>
          <w:iCs/>
          <w:color w:val="000000"/>
          <w:sz w:val="24"/>
          <w:szCs w:val="24"/>
          <w:lang w:val="sq-AL"/>
        </w:rPr>
        <w:t>Nicolae</w:t>
      </w:r>
      <w:proofErr w:type="spellEnd"/>
      <w:r w:rsidRPr="00520DB5">
        <w:rPr>
          <w:rFonts w:ascii="Garamond" w:hAnsi="Garamond" w:cs="Times New Roman"/>
          <w:i/>
          <w:iCs/>
          <w:color w:val="000000"/>
          <w:sz w:val="24"/>
          <w:szCs w:val="24"/>
          <w:lang w:val="sq-AL"/>
        </w:rPr>
        <w:t xml:space="preserve"> </w:t>
      </w:r>
      <w:proofErr w:type="spellStart"/>
      <w:r w:rsidRPr="00520DB5">
        <w:rPr>
          <w:rFonts w:ascii="Garamond" w:hAnsi="Garamond" w:cs="Times New Roman"/>
          <w:i/>
          <w:iCs/>
          <w:color w:val="000000"/>
          <w:sz w:val="24"/>
          <w:szCs w:val="24"/>
          <w:lang w:val="sq-AL"/>
        </w:rPr>
        <w:t>Virgiliu</w:t>
      </w:r>
      <w:proofErr w:type="spellEnd"/>
      <w:r w:rsidRPr="00520DB5">
        <w:rPr>
          <w:rFonts w:ascii="Garamond" w:hAnsi="Garamond" w:cs="Times New Roman"/>
          <w:i/>
          <w:iCs/>
          <w:color w:val="000000"/>
          <w:sz w:val="24"/>
          <w:szCs w:val="24"/>
          <w:lang w:val="sq-AL"/>
        </w:rPr>
        <w:t xml:space="preserve"> </w:t>
      </w:r>
      <w:proofErr w:type="spellStart"/>
      <w:r w:rsidRPr="00520DB5">
        <w:rPr>
          <w:rFonts w:ascii="Garamond" w:hAnsi="Garamond" w:cs="Times New Roman"/>
          <w:i/>
          <w:iCs/>
          <w:color w:val="000000"/>
          <w:sz w:val="24"/>
          <w:szCs w:val="24"/>
          <w:lang w:val="sq-AL"/>
        </w:rPr>
        <w:t>Tãnase</w:t>
      </w:r>
      <w:proofErr w:type="spellEnd"/>
      <w:r w:rsidRPr="00520DB5">
        <w:rPr>
          <w:rFonts w:ascii="Garamond" w:hAnsi="Garamond" w:cs="Times New Roman"/>
          <w:i/>
          <w:iCs/>
          <w:color w:val="000000"/>
          <w:sz w:val="24"/>
          <w:szCs w:val="24"/>
          <w:lang w:val="sq-AL"/>
        </w:rPr>
        <w:t xml:space="preserve"> kundër Rumanisë </w:t>
      </w:r>
      <w:r w:rsidRPr="00520DB5">
        <w:rPr>
          <w:rFonts w:ascii="Garamond" w:hAnsi="Garamond" w:cs="Times New Roman"/>
          <w:color w:val="000000"/>
          <w:sz w:val="24"/>
          <w:szCs w:val="24"/>
          <w:lang w:val="sq-AL"/>
        </w:rPr>
        <w:t>[</w:t>
      </w:r>
      <w:proofErr w:type="spellStart"/>
      <w:r w:rsidRPr="00520DB5">
        <w:rPr>
          <w:rFonts w:ascii="Garamond" w:hAnsi="Garamond" w:cs="Times New Roman"/>
          <w:color w:val="000000"/>
          <w:sz w:val="24"/>
          <w:szCs w:val="24"/>
          <w:lang w:val="sq-AL"/>
        </w:rPr>
        <w:t>DHM</w:t>
      </w:r>
      <w:proofErr w:type="spellEnd"/>
      <w:r w:rsidRPr="00520DB5">
        <w:rPr>
          <w:rFonts w:ascii="Garamond" w:hAnsi="Garamond" w:cs="Times New Roman"/>
          <w:color w:val="000000"/>
          <w:sz w:val="24"/>
          <w:szCs w:val="24"/>
          <w:lang w:val="sq-AL"/>
        </w:rPr>
        <w:t xml:space="preserve">], nr. 41720/13, § 177, 25 </w:t>
      </w:r>
      <w:r w:rsidR="00440D0E" w:rsidRPr="00520DB5">
        <w:rPr>
          <w:rFonts w:ascii="Garamond" w:hAnsi="Garamond" w:cs="Times New Roman"/>
          <w:color w:val="000000"/>
          <w:sz w:val="24"/>
          <w:szCs w:val="24"/>
          <w:lang w:val="sq-AL"/>
        </w:rPr>
        <w:t xml:space="preserve">qershor </w:t>
      </w:r>
      <w:r w:rsidRPr="00520DB5">
        <w:rPr>
          <w:rFonts w:ascii="Garamond" w:hAnsi="Garamond" w:cs="Times New Roman"/>
          <w:color w:val="000000"/>
          <w:sz w:val="24"/>
          <w:szCs w:val="24"/>
          <w:lang w:val="sq-AL"/>
        </w:rPr>
        <w:t>2019). Në këtë çështje, Gjykata duhet të përcaktojë nëse</w:t>
      </w:r>
      <w:r w:rsidR="00440D0E">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për sa i përket ankesës përpara Gjykatës Kushtetuese</w:t>
      </w:r>
      <w:r w:rsidR="00440D0E">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legjislacioni përkatës është kushtetues dhe nëse kërkesa për kompensimin e dëmeve të shkaktuara nga </w:t>
      </w:r>
      <w:r w:rsidR="00440D0E" w:rsidRPr="00520DB5">
        <w:rPr>
          <w:rFonts w:ascii="Garamond" w:hAnsi="Garamond" w:cs="Times New Roman"/>
          <w:color w:val="000000"/>
          <w:sz w:val="24"/>
          <w:szCs w:val="24"/>
          <w:lang w:val="sq-AL"/>
        </w:rPr>
        <w:t xml:space="preserve">shteti </w:t>
      </w:r>
      <w:r w:rsidRPr="00520DB5">
        <w:rPr>
          <w:rFonts w:ascii="Garamond" w:hAnsi="Garamond" w:cs="Times New Roman"/>
          <w:color w:val="000000"/>
          <w:sz w:val="24"/>
          <w:szCs w:val="24"/>
          <w:lang w:val="sq-AL"/>
        </w:rPr>
        <w:t>përpara gjykatave të zakonshme kishte “në thelb të njëjtin objektiv”</w:t>
      </w:r>
      <w:r w:rsidR="00440D0E">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në lidhje me ankesën e kërkuesve. </w:t>
      </w:r>
    </w:p>
    <w:p w14:paraId="0B38CFF0" w14:textId="6EC657D2"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16. Gjykata vëren se qëllimi i kundërshtimit kushtetues ishte deklarimi i legjislacionit të kundërshtuar si </w:t>
      </w:r>
      <w:proofErr w:type="spellStart"/>
      <w:r w:rsidRPr="00520DB5">
        <w:rPr>
          <w:rFonts w:ascii="Garamond" w:hAnsi="Garamond" w:cs="Times New Roman"/>
          <w:color w:val="000000"/>
          <w:sz w:val="24"/>
          <w:szCs w:val="24"/>
          <w:lang w:val="sq-AL"/>
        </w:rPr>
        <w:t>jokushtetues</w:t>
      </w:r>
      <w:proofErr w:type="spellEnd"/>
      <w:r w:rsidRPr="00520DB5">
        <w:rPr>
          <w:rFonts w:ascii="Garamond" w:hAnsi="Garamond" w:cs="Times New Roman"/>
          <w:color w:val="000000"/>
          <w:sz w:val="24"/>
          <w:szCs w:val="24"/>
          <w:lang w:val="sq-AL"/>
        </w:rPr>
        <w:t xml:space="preserve">, me rezultatin e dëshiruar që ky legjislacion të mos kishte asnjë ndikim. Një ankesë e tillë kushtetuese nuk mund të sillte kompensim pasuror për kërkuesit. </w:t>
      </w:r>
    </w:p>
    <w:p w14:paraId="1D8DE9CE" w14:textId="4A2DBB33"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17. Në lidhje me padinë civile kundër </w:t>
      </w:r>
      <w:r w:rsidR="00643943" w:rsidRPr="00520DB5">
        <w:rPr>
          <w:rFonts w:ascii="Garamond" w:hAnsi="Garamond" w:cs="Times New Roman"/>
          <w:color w:val="000000"/>
          <w:sz w:val="24"/>
          <w:szCs w:val="24"/>
          <w:lang w:val="sq-AL"/>
        </w:rPr>
        <w:t xml:space="preserve">shtetit </w:t>
      </w:r>
      <w:r w:rsidRPr="00520DB5">
        <w:rPr>
          <w:rFonts w:ascii="Garamond" w:hAnsi="Garamond" w:cs="Times New Roman"/>
          <w:color w:val="000000"/>
          <w:sz w:val="24"/>
          <w:szCs w:val="24"/>
          <w:lang w:val="sq-AL"/>
        </w:rPr>
        <w:t xml:space="preserve">për kompensimin e dëmeve, qëllimi është që të përfitohet kompensim monetar për humbjet financiare, apo për çdo humbje tjetër, me të cilat mund të jenë përballur kërkuesit si rezultat i legjislacionit të kundërshtuar. </w:t>
      </w:r>
    </w:p>
    <w:p w14:paraId="684F3F7A" w14:textId="448280E7"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18. Rezulton se këto dy mjete nuk kanë të njëjtin qëllim, dhe tashmë Gjykatës i duhet të vlerësojë nëse pretendimi për dëmshpërblim mund të konsiderohet si një mjet efektiv për shkeljen e pretenduar sipas </w:t>
      </w:r>
      <w:r w:rsidR="001B06AF" w:rsidRPr="00520DB5">
        <w:rPr>
          <w:rFonts w:ascii="Garamond" w:hAnsi="Garamond" w:cs="Times New Roman"/>
          <w:color w:val="000000"/>
          <w:sz w:val="24"/>
          <w:szCs w:val="24"/>
          <w:lang w:val="sq-AL"/>
        </w:rPr>
        <w:t>nenit 1 të protokollit nr. 1 të</w:t>
      </w:r>
      <w:r w:rsidRPr="00520DB5">
        <w:rPr>
          <w:rFonts w:ascii="Garamond" w:hAnsi="Garamond" w:cs="Times New Roman"/>
          <w:color w:val="000000"/>
          <w:sz w:val="24"/>
          <w:szCs w:val="24"/>
          <w:lang w:val="sq-AL"/>
        </w:rPr>
        <w:t xml:space="preserve"> Konventës. </w:t>
      </w:r>
    </w:p>
    <w:p w14:paraId="43431BA3" w14:textId="5C86CD6B"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19. Në lidhje me këtë aspekt, Gjykata sjell në vëmendje</w:t>
      </w:r>
      <w:r w:rsidR="00FA22C8">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se deri më tani ajo ka gjykuar një sërë çështjesh që kanë lidhje me revokimin e licencave për të kryer një aktivitet biznesi dhe se mundësia për përftimin e kompensimit është një vlerësim i zakonshëm në këto raste, duke përfshirë situatat kur heqja e licencës është rezultat i drejtpërdrejtë i ndërhyrjes legjislative (shih, për shembull, </w:t>
      </w:r>
      <w:proofErr w:type="spellStart"/>
      <w:r w:rsidRPr="00520DB5">
        <w:rPr>
          <w:rFonts w:ascii="Garamond" w:hAnsi="Garamond" w:cs="Times New Roman"/>
          <w:i/>
          <w:iCs/>
          <w:color w:val="000000"/>
          <w:sz w:val="24"/>
          <w:szCs w:val="24"/>
          <w:lang w:val="sq-AL"/>
        </w:rPr>
        <w:t>Pinnacle</w:t>
      </w:r>
      <w:proofErr w:type="spellEnd"/>
      <w:r w:rsidRPr="00520DB5">
        <w:rPr>
          <w:rFonts w:ascii="Garamond" w:hAnsi="Garamond" w:cs="Times New Roman"/>
          <w:i/>
          <w:iCs/>
          <w:color w:val="000000"/>
          <w:sz w:val="24"/>
          <w:szCs w:val="24"/>
          <w:lang w:val="sq-AL"/>
        </w:rPr>
        <w:t xml:space="preserve"> </w:t>
      </w:r>
      <w:proofErr w:type="spellStart"/>
      <w:r w:rsidRPr="00520DB5">
        <w:rPr>
          <w:rFonts w:ascii="Garamond" w:hAnsi="Garamond" w:cs="Times New Roman"/>
          <w:i/>
          <w:iCs/>
          <w:color w:val="000000"/>
          <w:sz w:val="24"/>
          <w:szCs w:val="24"/>
          <w:lang w:val="sq-AL"/>
        </w:rPr>
        <w:t>Meat</w:t>
      </w:r>
      <w:proofErr w:type="spellEnd"/>
      <w:r w:rsidRPr="00520DB5">
        <w:rPr>
          <w:rFonts w:ascii="Garamond" w:hAnsi="Garamond" w:cs="Times New Roman"/>
          <w:i/>
          <w:iCs/>
          <w:color w:val="000000"/>
          <w:sz w:val="24"/>
          <w:szCs w:val="24"/>
          <w:lang w:val="sq-AL"/>
        </w:rPr>
        <w:t xml:space="preserve"> </w:t>
      </w:r>
      <w:proofErr w:type="spellStart"/>
      <w:r w:rsidRPr="00520DB5">
        <w:rPr>
          <w:rFonts w:ascii="Garamond" w:hAnsi="Garamond" w:cs="Times New Roman"/>
          <w:i/>
          <w:iCs/>
          <w:color w:val="000000"/>
          <w:sz w:val="24"/>
          <w:szCs w:val="24"/>
          <w:lang w:val="sq-AL"/>
        </w:rPr>
        <w:t>Processors</w:t>
      </w:r>
      <w:proofErr w:type="spellEnd"/>
      <w:r w:rsidRPr="00520DB5">
        <w:rPr>
          <w:rFonts w:ascii="Garamond" w:hAnsi="Garamond" w:cs="Times New Roman"/>
          <w:i/>
          <w:iCs/>
          <w:color w:val="000000"/>
          <w:sz w:val="24"/>
          <w:szCs w:val="24"/>
          <w:lang w:val="sq-AL"/>
        </w:rPr>
        <w:t xml:space="preserve"> </w:t>
      </w:r>
      <w:proofErr w:type="spellStart"/>
      <w:r w:rsidRPr="00520DB5">
        <w:rPr>
          <w:rFonts w:ascii="Garamond" w:hAnsi="Garamond" w:cs="Times New Roman"/>
          <w:i/>
          <w:iCs/>
          <w:color w:val="000000"/>
          <w:sz w:val="24"/>
          <w:szCs w:val="24"/>
          <w:lang w:val="sq-AL"/>
        </w:rPr>
        <w:t>Company</w:t>
      </w:r>
      <w:proofErr w:type="spellEnd"/>
      <w:r w:rsidRPr="00520DB5">
        <w:rPr>
          <w:rFonts w:ascii="Garamond" w:hAnsi="Garamond" w:cs="Times New Roman"/>
          <w:i/>
          <w:iCs/>
          <w:color w:val="000000"/>
          <w:sz w:val="24"/>
          <w:szCs w:val="24"/>
          <w:lang w:val="sq-AL"/>
        </w:rPr>
        <w:t xml:space="preserve"> dhe 8 të Tjerë kundër Mbretërisë së Bashkuar </w:t>
      </w:r>
      <w:r w:rsidRPr="00520DB5">
        <w:rPr>
          <w:rFonts w:ascii="Garamond" w:hAnsi="Garamond" w:cs="Times New Roman"/>
          <w:color w:val="000000"/>
          <w:sz w:val="24"/>
          <w:szCs w:val="24"/>
          <w:lang w:val="sq-AL"/>
        </w:rPr>
        <w:t xml:space="preserve">(vendim), nr. 33298/96, 21 </w:t>
      </w:r>
      <w:r w:rsidR="00FA22C8" w:rsidRPr="00520DB5">
        <w:rPr>
          <w:rFonts w:ascii="Garamond" w:hAnsi="Garamond" w:cs="Times New Roman"/>
          <w:color w:val="000000"/>
          <w:sz w:val="24"/>
          <w:szCs w:val="24"/>
          <w:lang w:val="sq-AL"/>
        </w:rPr>
        <w:t xml:space="preserve">tetor </w:t>
      </w:r>
      <w:r w:rsidRPr="00520DB5">
        <w:rPr>
          <w:rFonts w:ascii="Garamond" w:hAnsi="Garamond" w:cs="Times New Roman"/>
          <w:color w:val="000000"/>
          <w:sz w:val="24"/>
          <w:szCs w:val="24"/>
          <w:lang w:val="sq-AL"/>
        </w:rPr>
        <w:t xml:space="preserve">1998; </w:t>
      </w:r>
      <w:proofErr w:type="spellStart"/>
      <w:r w:rsidRPr="00520DB5">
        <w:rPr>
          <w:rFonts w:ascii="Garamond" w:hAnsi="Garamond" w:cs="Times New Roman"/>
          <w:i/>
          <w:iCs/>
          <w:color w:val="000000"/>
          <w:sz w:val="24"/>
          <w:szCs w:val="24"/>
          <w:lang w:val="sq-AL"/>
        </w:rPr>
        <w:t>Ian</w:t>
      </w:r>
      <w:proofErr w:type="spellEnd"/>
      <w:r w:rsidRPr="00520DB5">
        <w:rPr>
          <w:rFonts w:ascii="Garamond" w:hAnsi="Garamond" w:cs="Times New Roman"/>
          <w:i/>
          <w:iCs/>
          <w:color w:val="000000"/>
          <w:sz w:val="24"/>
          <w:szCs w:val="24"/>
          <w:lang w:val="sq-AL"/>
        </w:rPr>
        <w:t xml:space="preserve"> </w:t>
      </w:r>
      <w:proofErr w:type="spellStart"/>
      <w:r w:rsidRPr="00520DB5">
        <w:rPr>
          <w:rFonts w:ascii="Garamond" w:hAnsi="Garamond" w:cs="Times New Roman"/>
          <w:i/>
          <w:iCs/>
          <w:color w:val="000000"/>
          <w:sz w:val="24"/>
          <w:szCs w:val="24"/>
          <w:lang w:val="sq-AL"/>
        </w:rPr>
        <w:t>Edgar</w:t>
      </w:r>
      <w:proofErr w:type="spellEnd"/>
      <w:r w:rsidRPr="00520DB5">
        <w:rPr>
          <w:rFonts w:ascii="Garamond" w:hAnsi="Garamond" w:cs="Times New Roman"/>
          <w:i/>
          <w:iCs/>
          <w:color w:val="000000"/>
          <w:sz w:val="24"/>
          <w:szCs w:val="24"/>
          <w:lang w:val="sq-AL"/>
        </w:rPr>
        <w:t xml:space="preserve"> (Liverpul) </w:t>
      </w:r>
      <w:proofErr w:type="spellStart"/>
      <w:r w:rsidRPr="00520DB5">
        <w:rPr>
          <w:rFonts w:ascii="Garamond" w:hAnsi="Garamond" w:cs="Times New Roman"/>
          <w:i/>
          <w:iCs/>
          <w:color w:val="000000"/>
          <w:sz w:val="24"/>
          <w:szCs w:val="24"/>
          <w:lang w:val="sq-AL"/>
        </w:rPr>
        <w:t>Ltd</w:t>
      </w:r>
      <w:proofErr w:type="spellEnd"/>
      <w:r w:rsidRPr="00520DB5">
        <w:rPr>
          <w:rFonts w:ascii="Garamond" w:hAnsi="Garamond" w:cs="Times New Roman"/>
          <w:i/>
          <w:iCs/>
          <w:color w:val="000000"/>
          <w:sz w:val="24"/>
          <w:szCs w:val="24"/>
          <w:lang w:val="sq-AL"/>
        </w:rPr>
        <w:t xml:space="preserve"> kundër Mbretërisë së Bashkuar </w:t>
      </w:r>
      <w:r w:rsidRPr="00520DB5">
        <w:rPr>
          <w:rFonts w:ascii="Garamond" w:hAnsi="Garamond" w:cs="Times New Roman"/>
          <w:color w:val="000000"/>
          <w:sz w:val="24"/>
          <w:szCs w:val="24"/>
          <w:lang w:val="sq-AL"/>
        </w:rPr>
        <w:t xml:space="preserve">(vendim), nr. 37683/97, </w:t>
      </w:r>
      <w:proofErr w:type="spellStart"/>
      <w:r w:rsidRPr="00520DB5">
        <w:rPr>
          <w:rFonts w:ascii="Garamond" w:hAnsi="Garamond" w:cs="Times New Roman"/>
          <w:color w:val="000000"/>
          <w:sz w:val="24"/>
          <w:szCs w:val="24"/>
          <w:lang w:val="sq-AL"/>
        </w:rPr>
        <w:t>GJEDNJ</w:t>
      </w:r>
      <w:proofErr w:type="spellEnd"/>
      <w:r w:rsidRPr="00520DB5">
        <w:rPr>
          <w:rFonts w:ascii="Garamond" w:hAnsi="Garamond" w:cs="Times New Roman"/>
          <w:color w:val="000000"/>
          <w:sz w:val="24"/>
          <w:szCs w:val="24"/>
          <w:lang w:val="sq-AL"/>
        </w:rPr>
        <w:t xml:space="preserve"> 2000-I; </w:t>
      </w:r>
      <w:proofErr w:type="spellStart"/>
      <w:r w:rsidRPr="00520DB5">
        <w:rPr>
          <w:rFonts w:ascii="Garamond" w:hAnsi="Garamond" w:cs="Times New Roman"/>
          <w:i/>
          <w:iCs/>
          <w:color w:val="000000"/>
          <w:sz w:val="24"/>
          <w:szCs w:val="24"/>
          <w:lang w:val="sq-AL"/>
        </w:rPr>
        <w:t>Findlater</w:t>
      </w:r>
      <w:proofErr w:type="spellEnd"/>
      <w:r w:rsidRPr="00520DB5">
        <w:rPr>
          <w:rFonts w:ascii="Garamond" w:hAnsi="Garamond" w:cs="Times New Roman"/>
          <w:i/>
          <w:iCs/>
          <w:color w:val="000000"/>
          <w:sz w:val="24"/>
          <w:szCs w:val="24"/>
          <w:lang w:val="sq-AL"/>
        </w:rPr>
        <w:t xml:space="preserve"> kundër Mbretërisë së Bashkuar </w:t>
      </w:r>
      <w:r w:rsidRPr="00520DB5">
        <w:rPr>
          <w:rFonts w:ascii="Garamond" w:hAnsi="Garamond" w:cs="Times New Roman"/>
          <w:color w:val="000000"/>
          <w:sz w:val="24"/>
          <w:szCs w:val="24"/>
          <w:lang w:val="sq-AL"/>
        </w:rPr>
        <w:t xml:space="preserve">(vendim), nr. 38881/97, 26 </w:t>
      </w:r>
      <w:r w:rsidR="00FA22C8" w:rsidRPr="00520DB5">
        <w:rPr>
          <w:rFonts w:ascii="Garamond" w:hAnsi="Garamond" w:cs="Times New Roman"/>
          <w:color w:val="000000"/>
          <w:sz w:val="24"/>
          <w:szCs w:val="24"/>
          <w:lang w:val="sq-AL"/>
        </w:rPr>
        <w:t xml:space="preserve">shtator </w:t>
      </w:r>
      <w:r w:rsidRPr="00520DB5">
        <w:rPr>
          <w:rFonts w:ascii="Garamond" w:hAnsi="Garamond" w:cs="Times New Roman"/>
          <w:color w:val="000000"/>
          <w:sz w:val="24"/>
          <w:szCs w:val="24"/>
          <w:lang w:val="sq-AL"/>
        </w:rPr>
        <w:t xml:space="preserve">2000; </w:t>
      </w:r>
      <w:proofErr w:type="spellStart"/>
      <w:r w:rsidRPr="00520DB5">
        <w:rPr>
          <w:rFonts w:ascii="Garamond" w:hAnsi="Garamond" w:cs="Times New Roman"/>
          <w:i/>
          <w:iCs/>
          <w:color w:val="000000"/>
          <w:sz w:val="24"/>
          <w:szCs w:val="24"/>
          <w:lang w:val="sq-AL"/>
        </w:rPr>
        <w:t>Vékony</w:t>
      </w:r>
      <w:proofErr w:type="spellEnd"/>
      <w:r w:rsidRPr="00520DB5">
        <w:rPr>
          <w:rFonts w:ascii="Garamond" w:hAnsi="Garamond" w:cs="Times New Roman"/>
          <w:i/>
          <w:iCs/>
          <w:color w:val="000000"/>
          <w:sz w:val="24"/>
          <w:szCs w:val="24"/>
          <w:lang w:val="sq-AL"/>
        </w:rPr>
        <w:t xml:space="preserve"> kundër Hungarisë, </w:t>
      </w:r>
      <w:r w:rsidRPr="00520DB5">
        <w:rPr>
          <w:rFonts w:ascii="Garamond" w:hAnsi="Garamond" w:cs="Times New Roman"/>
          <w:color w:val="000000"/>
          <w:sz w:val="24"/>
          <w:szCs w:val="24"/>
          <w:lang w:val="sq-AL"/>
        </w:rPr>
        <w:t xml:space="preserve">nr. 65681/13, §§ 24 dhe 35, 13 </w:t>
      </w:r>
      <w:r w:rsidR="00FA22C8" w:rsidRPr="00520DB5">
        <w:rPr>
          <w:rFonts w:ascii="Garamond" w:hAnsi="Garamond" w:cs="Times New Roman"/>
          <w:color w:val="000000"/>
          <w:sz w:val="24"/>
          <w:szCs w:val="24"/>
          <w:lang w:val="sq-AL"/>
        </w:rPr>
        <w:t xml:space="preserve">janar </w:t>
      </w:r>
      <w:r w:rsidRPr="00520DB5">
        <w:rPr>
          <w:rFonts w:ascii="Garamond" w:hAnsi="Garamond" w:cs="Times New Roman"/>
          <w:color w:val="000000"/>
          <w:sz w:val="24"/>
          <w:szCs w:val="24"/>
          <w:lang w:val="sq-AL"/>
        </w:rPr>
        <w:t xml:space="preserve">2015; </w:t>
      </w:r>
      <w:proofErr w:type="spellStart"/>
      <w:r w:rsidRPr="00520DB5">
        <w:rPr>
          <w:rFonts w:ascii="Garamond" w:hAnsi="Garamond" w:cs="Times New Roman"/>
          <w:i/>
          <w:iCs/>
          <w:color w:val="000000"/>
          <w:sz w:val="24"/>
          <w:szCs w:val="24"/>
          <w:lang w:val="sq-AL"/>
        </w:rPr>
        <w:t>S.C</w:t>
      </w:r>
      <w:proofErr w:type="spellEnd"/>
      <w:r w:rsidRPr="00520DB5">
        <w:rPr>
          <w:rFonts w:ascii="Garamond" w:hAnsi="Garamond" w:cs="Times New Roman"/>
          <w:i/>
          <w:iCs/>
          <w:color w:val="000000"/>
          <w:sz w:val="24"/>
          <w:szCs w:val="24"/>
          <w:lang w:val="sq-AL"/>
        </w:rPr>
        <w:t xml:space="preserve">. </w:t>
      </w:r>
      <w:proofErr w:type="spellStart"/>
      <w:r w:rsidRPr="00520DB5">
        <w:rPr>
          <w:rFonts w:ascii="Garamond" w:hAnsi="Garamond" w:cs="Times New Roman"/>
          <w:i/>
          <w:iCs/>
          <w:color w:val="000000"/>
          <w:sz w:val="24"/>
          <w:szCs w:val="24"/>
          <w:lang w:val="sq-AL"/>
        </w:rPr>
        <w:t>Antares</w:t>
      </w:r>
      <w:proofErr w:type="spellEnd"/>
      <w:r w:rsidRPr="00520DB5">
        <w:rPr>
          <w:rFonts w:ascii="Garamond" w:hAnsi="Garamond" w:cs="Times New Roman"/>
          <w:i/>
          <w:iCs/>
          <w:color w:val="000000"/>
          <w:sz w:val="24"/>
          <w:szCs w:val="24"/>
          <w:lang w:val="sq-AL"/>
        </w:rPr>
        <w:t xml:space="preserve"> Transport </w:t>
      </w:r>
      <w:proofErr w:type="spellStart"/>
      <w:r w:rsidRPr="00520DB5">
        <w:rPr>
          <w:rFonts w:ascii="Garamond" w:hAnsi="Garamond" w:cs="Times New Roman"/>
          <w:i/>
          <w:iCs/>
          <w:color w:val="000000"/>
          <w:sz w:val="24"/>
          <w:szCs w:val="24"/>
          <w:lang w:val="sq-AL"/>
        </w:rPr>
        <w:t>S.A</w:t>
      </w:r>
      <w:proofErr w:type="spellEnd"/>
      <w:r w:rsidRPr="00520DB5">
        <w:rPr>
          <w:rFonts w:ascii="Garamond" w:hAnsi="Garamond" w:cs="Times New Roman"/>
          <w:i/>
          <w:iCs/>
          <w:color w:val="000000"/>
          <w:sz w:val="24"/>
          <w:szCs w:val="24"/>
          <w:lang w:val="sq-AL"/>
        </w:rPr>
        <w:t xml:space="preserve">. dhe </w:t>
      </w:r>
      <w:proofErr w:type="spellStart"/>
      <w:r w:rsidRPr="00520DB5">
        <w:rPr>
          <w:rFonts w:ascii="Garamond" w:hAnsi="Garamond" w:cs="Times New Roman"/>
          <w:i/>
          <w:iCs/>
          <w:color w:val="000000"/>
          <w:sz w:val="24"/>
          <w:szCs w:val="24"/>
          <w:lang w:val="sq-AL"/>
        </w:rPr>
        <w:t>S.C</w:t>
      </w:r>
      <w:proofErr w:type="spellEnd"/>
      <w:r w:rsidRPr="00520DB5">
        <w:rPr>
          <w:rFonts w:ascii="Garamond" w:hAnsi="Garamond" w:cs="Times New Roman"/>
          <w:i/>
          <w:iCs/>
          <w:color w:val="000000"/>
          <w:sz w:val="24"/>
          <w:szCs w:val="24"/>
          <w:lang w:val="sq-AL"/>
        </w:rPr>
        <w:t xml:space="preserve">. </w:t>
      </w:r>
      <w:proofErr w:type="spellStart"/>
      <w:r w:rsidRPr="00520DB5">
        <w:rPr>
          <w:rFonts w:ascii="Garamond" w:hAnsi="Garamond" w:cs="Times New Roman"/>
          <w:i/>
          <w:iCs/>
          <w:color w:val="000000"/>
          <w:sz w:val="24"/>
          <w:szCs w:val="24"/>
          <w:lang w:val="sq-AL"/>
        </w:rPr>
        <w:t>Transroby</w:t>
      </w:r>
      <w:proofErr w:type="spellEnd"/>
      <w:r w:rsidRPr="00520DB5">
        <w:rPr>
          <w:rFonts w:ascii="Garamond" w:hAnsi="Garamond" w:cs="Times New Roman"/>
          <w:i/>
          <w:iCs/>
          <w:color w:val="000000"/>
          <w:sz w:val="24"/>
          <w:szCs w:val="24"/>
          <w:lang w:val="sq-AL"/>
        </w:rPr>
        <w:t xml:space="preserve"> </w:t>
      </w:r>
      <w:proofErr w:type="spellStart"/>
      <w:r w:rsidRPr="00520DB5">
        <w:rPr>
          <w:rFonts w:ascii="Garamond" w:hAnsi="Garamond" w:cs="Times New Roman"/>
          <w:i/>
          <w:iCs/>
          <w:color w:val="000000"/>
          <w:sz w:val="24"/>
          <w:szCs w:val="24"/>
          <w:lang w:val="sq-AL"/>
        </w:rPr>
        <w:t>S.R.L</w:t>
      </w:r>
      <w:proofErr w:type="spellEnd"/>
      <w:r w:rsidRPr="00520DB5">
        <w:rPr>
          <w:rFonts w:ascii="Garamond" w:hAnsi="Garamond" w:cs="Times New Roman"/>
          <w:i/>
          <w:iCs/>
          <w:color w:val="000000"/>
          <w:sz w:val="24"/>
          <w:szCs w:val="24"/>
          <w:lang w:val="sq-AL"/>
        </w:rPr>
        <w:t>. kundër Rumanisë</w:t>
      </w:r>
      <w:r w:rsidRPr="00520DB5">
        <w:rPr>
          <w:rFonts w:ascii="Garamond" w:hAnsi="Garamond" w:cs="Times New Roman"/>
          <w:color w:val="000000"/>
          <w:sz w:val="24"/>
          <w:szCs w:val="24"/>
          <w:lang w:val="sq-AL"/>
        </w:rPr>
        <w:t xml:space="preserve">, nr. 27227/08, § 49, 15 </w:t>
      </w:r>
      <w:r w:rsidR="00FA22C8" w:rsidRPr="00520DB5">
        <w:rPr>
          <w:rFonts w:ascii="Garamond" w:hAnsi="Garamond" w:cs="Times New Roman"/>
          <w:color w:val="000000"/>
          <w:sz w:val="24"/>
          <w:szCs w:val="24"/>
          <w:lang w:val="sq-AL"/>
        </w:rPr>
        <w:t xml:space="preserve">dhjetor </w:t>
      </w:r>
      <w:r w:rsidRPr="00520DB5">
        <w:rPr>
          <w:rFonts w:ascii="Garamond" w:hAnsi="Garamond" w:cs="Times New Roman"/>
          <w:color w:val="000000"/>
          <w:sz w:val="24"/>
          <w:szCs w:val="24"/>
          <w:lang w:val="sq-AL"/>
        </w:rPr>
        <w:t xml:space="preserve">2015; </w:t>
      </w:r>
      <w:proofErr w:type="spellStart"/>
      <w:r w:rsidRPr="00520DB5">
        <w:rPr>
          <w:rFonts w:ascii="Garamond" w:hAnsi="Garamond" w:cs="Times New Roman"/>
          <w:i/>
          <w:iCs/>
          <w:color w:val="000000"/>
          <w:sz w:val="24"/>
          <w:szCs w:val="24"/>
          <w:lang w:val="sq-AL"/>
        </w:rPr>
        <w:t>Werra</w:t>
      </w:r>
      <w:proofErr w:type="spellEnd"/>
      <w:r w:rsidRPr="00520DB5">
        <w:rPr>
          <w:rFonts w:ascii="Garamond" w:hAnsi="Garamond" w:cs="Times New Roman"/>
          <w:i/>
          <w:iCs/>
          <w:color w:val="000000"/>
          <w:sz w:val="24"/>
          <w:szCs w:val="24"/>
          <w:lang w:val="sq-AL"/>
        </w:rPr>
        <w:t xml:space="preserve"> </w:t>
      </w:r>
      <w:proofErr w:type="spellStart"/>
      <w:r w:rsidRPr="00520DB5">
        <w:rPr>
          <w:rFonts w:ascii="Garamond" w:hAnsi="Garamond" w:cs="Times New Roman"/>
          <w:i/>
          <w:iCs/>
          <w:color w:val="000000"/>
          <w:sz w:val="24"/>
          <w:szCs w:val="24"/>
          <w:lang w:val="sq-AL"/>
        </w:rPr>
        <w:t>Naturstein</w:t>
      </w:r>
      <w:proofErr w:type="spellEnd"/>
      <w:r w:rsidRPr="00520DB5">
        <w:rPr>
          <w:rFonts w:ascii="Garamond" w:hAnsi="Garamond" w:cs="Times New Roman"/>
          <w:i/>
          <w:iCs/>
          <w:color w:val="000000"/>
          <w:sz w:val="24"/>
          <w:szCs w:val="24"/>
          <w:lang w:val="sq-AL"/>
        </w:rPr>
        <w:t xml:space="preserve"> </w:t>
      </w:r>
      <w:proofErr w:type="spellStart"/>
      <w:r w:rsidRPr="00520DB5">
        <w:rPr>
          <w:rFonts w:ascii="Garamond" w:hAnsi="Garamond" w:cs="Times New Roman"/>
          <w:i/>
          <w:iCs/>
          <w:color w:val="000000"/>
          <w:sz w:val="24"/>
          <w:szCs w:val="24"/>
          <w:lang w:val="sq-AL"/>
        </w:rPr>
        <w:t>GmbH</w:t>
      </w:r>
      <w:proofErr w:type="spellEnd"/>
      <w:r w:rsidRPr="00520DB5">
        <w:rPr>
          <w:rFonts w:ascii="Garamond" w:hAnsi="Garamond" w:cs="Times New Roman"/>
          <w:i/>
          <w:iCs/>
          <w:color w:val="000000"/>
          <w:sz w:val="24"/>
          <w:szCs w:val="24"/>
          <w:lang w:val="sq-AL"/>
        </w:rPr>
        <w:t xml:space="preserve"> </w:t>
      </w:r>
      <w:r w:rsidRPr="00FA22C8">
        <w:rPr>
          <w:rFonts w:asciiTheme="majorBidi" w:hAnsiTheme="majorBidi" w:cstheme="majorBidi"/>
          <w:i/>
          <w:iCs/>
          <w:color w:val="000000"/>
          <w:sz w:val="24"/>
          <w:szCs w:val="24"/>
          <w:lang w:val="sq-AL"/>
        </w:rPr>
        <w:t>&amp;</w:t>
      </w:r>
      <w:r w:rsidRPr="00520DB5">
        <w:rPr>
          <w:rFonts w:ascii="Garamond" w:hAnsi="Garamond" w:cs="Times New Roman"/>
          <w:i/>
          <w:iCs/>
          <w:color w:val="000000"/>
          <w:sz w:val="24"/>
          <w:szCs w:val="24"/>
          <w:lang w:val="sq-AL"/>
        </w:rPr>
        <w:t xml:space="preserve"> </w:t>
      </w:r>
      <w:proofErr w:type="spellStart"/>
      <w:r w:rsidRPr="00520DB5">
        <w:rPr>
          <w:rFonts w:ascii="Garamond" w:hAnsi="Garamond" w:cs="Times New Roman"/>
          <w:i/>
          <w:iCs/>
          <w:color w:val="000000"/>
          <w:sz w:val="24"/>
          <w:szCs w:val="24"/>
          <w:lang w:val="sq-AL"/>
        </w:rPr>
        <w:t>Co</w:t>
      </w:r>
      <w:proofErr w:type="spellEnd"/>
      <w:r w:rsidRPr="00520DB5">
        <w:rPr>
          <w:rFonts w:ascii="Garamond" w:hAnsi="Garamond" w:cs="Times New Roman"/>
          <w:i/>
          <w:iCs/>
          <w:color w:val="000000"/>
          <w:sz w:val="24"/>
          <w:szCs w:val="24"/>
          <w:lang w:val="sq-AL"/>
        </w:rPr>
        <w:t xml:space="preserve"> KG kundër Gjermanisë</w:t>
      </w:r>
      <w:r w:rsidRPr="00520DB5">
        <w:rPr>
          <w:rFonts w:ascii="Garamond" w:hAnsi="Garamond" w:cs="Times New Roman"/>
          <w:color w:val="000000"/>
          <w:sz w:val="24"/>
          <w:szCs w:val="24"/>
          <w:lang w:val="sq-AL"/>
        </w:rPr>
        <w:t>, nr. 32377/12, §§ 29</w:t>
      </w:r>
      <w:r w:rsidR="007326EC">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33, 19 </w:t>
      </w:r>
      <w:r w:rsidR="007326EC" w:rsidRPr="00520DB5">
        <w:rPr>
          <w:rFonts w:ascii="Garamond" w:hAnsi="Garamond" w:cs="Times New Roman"/>
          <w:color w:val="000000"/>
          <w:sz w:val="24"/>
          <w:szCs w:val="24"/>
          <w:lang w:val="sq-AL"/>
        </w:rPr>
        <w:t xml:space="preserve">janar </w:t>
      </w:r>
      <w:r w:rsidRPr="00520DB5">
        <w:rPr>
          <w:rFonts w:ascii="Garamond" w:hAnsi="Garamond" w:cs="Times New Roman"/>
          <w:color w:val="000000"/>
          <w:sz w:val="24"/>
          <w:szCs w:val="24"/>
          <w:lang w:val="sq-AL"/>
        </w:rPr>
        <w:t xml:space="preserve">2017; </w:t>
      </w:r>
      <w:proofErr w:type="spellStart"/>
      <w:r w:rsidRPr="00520DB5">
        <w:rPr>
          <w:rFonts w:ascii="Garamond" w:hAnsi="Garamond" w:cs="Times New Roman"/>
          <w:i/>
          <w:iCs/>
          <w:color w:val="000000"/>
          <w:sz w:val="24"/>
          <w:szCs w:val="24"/>
          <w:lang w:val="sq-AL"/>
        </w:rPr>
        <w:t>Svit</w:t>
      </w:r>
      <w:proofErr w:type="spellEnd"/>
      <w:r w:rsidRPr="00520DB5">
        <w:rPr>
          <w:rFonts w:ascii="Garamond" w:hAnsi="Garamond" w:cs="Times New Roman"/>
          <w:i/>
          <w:iCs/>
          <w:color w:val="000000"/>
          <w:sz w:val="24"/>
          <w:szCs w:val="24"/>
          <w:lang w:val="sq-AL"/>
        </w:rPr>
        <w:t xml:space="preserve"> </w:t>
      </w:r>
      <w:proofErr w:type="spellStart"/>
      <w:r w:rsidRPr="00520DB5">
        <w:rPr>
          <w:rFonts w:ascii="Garamond" w:hAnsi="Garamond" w:cs="Times New Roman"/>
          <w:i/>
          <w:iCs/>
          <w:color w:val="000000"/>
          <w:sz w:val="24"/>
          <w:szCs w:val="24"/>
          <w:lang w:val="sq-AL"/>
        </w:rPr>
        <w:t>Rozvag</w:t>
      </w:r>
      <w:proofErr w:type="spellEnd"/>
      <w:r w:rsidRPr="00520DB5">
        <w:rPr>
          <w:rFonts w:ascii="Garamond" w:hAnsi="Garamond" w:cs="Times New Roman"/>
          <w:i/>
          <w:iCs/>
          <w:color w:val="000000"/>
          <w:sz w:val="24"/>
          <w:szCs w:val="24"/>
          <w:lang w:val="sq-AL"/>
        </w:rPr>
        <w:t xml:space="preserve">, </w:t>
      </w:r>
      <w:proofErr w:type="spellStart"/>
      <w:r w:rsidRPr="00520DB5">
        <w:rPr>
          <w:rFonts w:ascii="Garamond" w:hAnsi="Garamond" w:cs="Times New Roman"/>
          <w:i/>
          <w:iCs/>
          <w:color w:val="000000"/>
          <w:sz w:val="24"/>
          <w:szCs w:val="24"/>
          <w:lang w:val="sq-AL"/>
        </w:rPr>
        <w:t>TOV</w:t>
      </w:r>
      <w:proofErr w:type="spellEnd"/>
      <w:r w:rsidRPr="00520DB5">
        <w:rPr>
          <w:rFonts w:ascii="Garamond" w:hAnsi="Garamond" w:cs="Times New Roman"/>
          <w:i/>
          <w:iCs/>
          <w:color w:val="000000"/>
          <w:sz w:val="24"/>
          <w:szCs w:val="24"/>
          <w:lang w:val="sq-AL"/>
        </w:rPr>
        <w:t xml:space="preserve"> dhe të Tjerë kundër Ukrainës</w:t>
      </w:r>
      <w:r w:rsidRPr="00520DB5">
        <w:rPr>
          <w:rFonts w:ascii="Garamond" w:hAnsi="Garamond" w:cs="Times New Roman"/>
          <w:color w:val="000000"/>
          <w:sz w:val="24"/>
          <w:szCs w:val="24"/>
          <w:lang w:val="sq-AL"/>
        </w:rPr>
        <w:t xml:space="preserve">, nr. 13290/11 dhe 2 </w:t>
      </w:r>
      <w:r w:rsidRPr="00520DB5">
        <w:rPr>
          <w:rFonts w:ascii="Garamond" w:hAnsi="Garamond" w:cs="Times New Roman"/>
          <w:color w:val="000000"/>
          <w:sz w:val="24"/>
          <w:szCs w:val="24"/>
          <w:lang w:val="sq-AL"/>
        </w:rPr>
        <w:lastRenderedPageBreak/>
        <w:t xml:space="preserve">të tjerë, §§ 18 dhe 154, 27 </w:t>
      </w:r>
      <w:r w:rsidR="00F114D0" w:rsidRPr="00520DB5">
        <w:rPr>
          <w:rFonts w:ascii="Garamond" w:hAnsi="Garamond" w:cs="Times New Roman"/>
          <w:color w:val="000000"/>
          <w:sz w:val="24"/>
          <w:szCs w:val="24"/>
          <w:lang w:val="sq-AL"/>
        </w:rPr>
        <w:t xml:space="preserve">qershor </w:t>
      </w:r>
      <w:r w:rsidRPr="00520DB5">
        <w:rPr>
          <w:rFonts w:ascii="Garamond" w:hAnsi="Garamond" w:cs="Times New Roman"/>
          <w:color w:val="000000"/>
          <w:sz w:val="24"/>
          <w:szCs w:val="24"/>
          <w:lang w:val="sq-AL"/>
        </w:rPr>
        <w:t xml:space="preserve">2019; dhe </w:t>
      </w:r>
      <w:proofErr w:type="spellStart"/>
      <w:r w:rsidRPr="00520DB5">
        <w:rPr>
          <w:rFonts w:ascii="Garamond" w:hAnsi="Garamond" w:cs="Times New Roman"/>
          <w:i/>
          <w:iCs/>
          <w:color w:val="000000"/>
          <w:sz w:val="24"/>
          <w:szCs w:val="24"/>
          <w:lang w:val="sq-AL"/>
        </w:rPr>
        <w:t>NIT</w:t>
      </w:r>
      <w:proofErr w:type="spellEnd"/>
      <w:r w:rsidRPr="00520DB5">
        <w:rPr>
          <w:rFonts w:ascii="Garamond" w:hAnsi="Garamond" w:cs="Times New Roman"/>
          <w:i/>
          <w:iCs/>
          <w:color w:val="000000"/>
          <w:sz w:val="24"/>
          <w:szCs w:val="24"/>
          <w:lang w:val="sq-AL"/>
        </w:rPr>
        <w:t xml:space="preserve"> </w:t>
      </w:r>
      <w:proofErr w:type="spellStart"/>
      <w:r w:rsidRPr="00520DB5">
        <w:rPr>
          <w:rFonts w:ascii="Garamond" w:hAnsi="Garamond" w:cs="Times New Roman"/>
          <w:i/>
          <w:iCs/>
          <w:color w:val="000000"/>
          <w:sz w:val="24"/>
          <w:szCs w:val="24"/>
          <w:lang w:val="sq-AL"/>
        </w:rPr>
        <w:t>S.R.L</w:t>
      </w:r>
      <w:proofErr w:type="spellEnd"/>
      <w:r w:rsidRPr="00520DB5">
        <w:rPr>
          <w:rFonts w:ascii="Garamond" w:hAnsi="Garamond" w:cs="Times New Roman"/>
          <w:i/>
          <w:iCs/>
          <w:color w:val="000000"/>
          <w:sz w:val="24"/>
          <w:szCs w:val="24"/>
          <w:lang w:val="sq-AL"/>
        </w:rPr>
        <w:t xml:space="preserve">. kundër Republikës së </w:t>
      </w:r>
      <w:proofErr w:type="spellStart"/>
      <w:r w:rsidRPr="00520DB5">
        <w:rPr>
          <w:rFonts w:ascii="Garamond" w:hAnsi="Garamond" w:cs="Times New Roman"/>
          <w:i/>
          <w:iCs/>
          <w:color w:val="000000"/>
          <w:sz w:val="24"/>
          <w:szCs w:val="24"/>
          <w:lang w:val="sq-AL"/>
        </w:rPr>
        <w:t>Moldovisë</w:t>
      </w:r>
      <w:proofErr w:type="spellEnd"/>
      <w:r w:rsidRPr="00520DB5">
        <w:rPr>
          <w:rFonts w:ascii="Garamond" w:hAnsi="Garamond" w:cs="Times New Roman"/>
          <w:i/>
          <w:iCs/>
          <w:color w:val="000000"/>
          <w:sz w:val="24"/>
          <w:szCs w:val="24"/>
          <w:lang w:val="sq-AL"/>
        </w:rPr>
        <w:t xml:space="preserve"> </w:t>
      </w:r>
      <w:r w:rsidRPr="00520DB5">
        <w:rPr>
          <w:rFonts w:ascii="Garamond" w:hAnsi="Garamond" w:cs="Times New Roman"/>
          <w:color w:val="000000"/>
          <w:sz w:val="24"/>
          <w:szCs w:val="24"/>
          <w:lang w:val="sq-AL"/>
        </w:rPr>
        <w:t>[</w:t>
      </w:r>
      <w:proofErr w:type="spellStart"/>
      <w:r w:rsidRPr="00520DB5">
        <w:rPr>
          <w:rFonts w:ascii="Garamond" w:hAnsi="Garamond" w:cs="Times New Roman"/>
          <w:color w:val="000000"/>
          <w:sz w:val="24"/>
          <w:szCs w:val="24"/>
          <w:lang w:val="sq-AL"/>
        </w:rPr>
        <w:t>DHM</w:t>
      </w:r>
      <w:proofErr w:type="spellEnd"/>
      <w:r w:rsidRPr="00520DB5">
        <w:rPr>
          <w:rFonts w:ascii="Garamond" w:hAnsi="Garamond" w:cs="Times New Roman"/>
          <w:color w:val="000000"/>
          <w:sz w:val="24"/>
          <w:szCs w:val="24"/>
          <w:lang w:val="sq-AL"/>
        </w:rPr>
        <w:t xml:space="preserve">], nr. 28470/12, § 254, 5 </w:t>
      </w:r>
      <w:r w:rsidR="00F114D0" w:rsidRPr="00520DB5">
        <w:rPr>
          <w:rFonts w:ascii="Garamond" w:hAnsi="Garamond" w:cs="Times New Roman"/>
          <w:color w:val="000000"/>
          <w:sz w:val="24"/>
          <w:szCs w:val="24"/>
          <w:lang w:val="sq-AL"/>
        </w:rPr>
        <w:t xml:space="preserve">prill </w:t>
      </w:r>
      <w:r w:rsidRPr="00520DB5">
        <w:rPr>
          <w:rFonts w:ascii="Garamond" w:hAnsi="Garamond" w:cs="Times New Roman"/>
          <w:color w:val="000000"/>
          <w:sz w:val="24"/>
          <w:szCs w:val="24"/>
          <w:lang w:val="sq-AL"/>
        </w:rPr>
        <w:t xml:space="preserve">2022). </w:t>
      </w:r>
    </w:p>
    <w:p w14:paraId="008820C6" w14:textId="0C445069"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20. Nuk ka dyshime se masa për të cilën ankohen kërkuesit ishte e ligjshme. Gjithashtu, Gjykata Kushtetuese gjykon se ajo ndoqi qëllimin legjitim për të mbrojtur interesat publik</w:t>
      </w:r>
      <w:r w:rsidR="00FD2390">
        <w:rPr>
          <w:rFonts w:ascii="Garamond" w:hAnsi="Garamond" w:cs="Times New Roman"/>
          <w:color w:val="000000"/>
          <w:sz w:val="24"/>
          <w:szCs w:val="24"/>
          <w:lang w:val="sq-AL"/>
        </w:rPr>
        <w:t>ë</w:t>
      </w:r>
      <w:r w:rsidRPr="00520DB5">
        <w:rPr>
          <w:rFonts w:ascii="Garamond" w:hAnsi="Garamond" w:cs="Times New Roman"/>
          <w:color w:val="000000"/>
          <w:sz w:val="24"/>
          <w:szCs w:val="24"/>
          <w:lang w:val="sq-AL"/>
        </w:rPr>
        <w:t xml:space="preserve"> (shih paragrafin 5 më sipër), dhe Gjykata nuk ka arsye që të dyshojë për atë përfundim. Në këto rrethana, një mjet </w:t>
      </w:r>
      <w:proofErr w:type="spellStart"/>
      <w:r w:rsidRPr="00520DB5">
        <w:rPr>
          <w:rFonts w:ascii="Garamond" w:hAnsi="Garamond" w:cs="Times New Roman"/>
          <w:color w:val="000000"/>
          <w:sz w:val="24"/>
          <w:szCs w:val="24"/>
          <w:lang w:val="sq-AL"/>
        </w:rPr>
        <w:t>kompensues</w:t>
      </w:r>
      <w:proofErr w:type="spellEnd"/>
      <w:r w:rsidRPr="00520DB5">
        <w:rPr>
          <w:rFonts w:ascii="Garamond" w:hAnsi="Garamond" w:cs="Times New Roman"/>
          <w:color w:val="000000"/>
          <w:sz w:val="24"/>
          <w:szCs w:val="24"/>
          <w:lang w:val="sq-AL"/>
        </w:rPr>
        <w:t>, më konkretisht mundësia që kërkuesit të kërkojnë kompensim për çdo dëm që mund të kenë vuajtur</w:t>
      </w:r>
      <w:r w:rsidR="00FD2390">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për shkak të zbatimit të legjislacionit të kundërshtuar, do të kishte qenë i mjaftueshëm (krahaso </w:t>
      </w:r>
      <w:proofErr w:type="spellStart"/>
      <w:r w:rsidRPr="00520DB5">
        <w:rPr>
          <w:rFonts w:ascii="Garamond" w:hAnsi="Garamond" w:cs="Times New Roman"/>
          <w:i/>
          <w:iCs/>
          <w:color w:val="000000"/>
          <w:sz w:val="24"/>
          <w:szCs w:val="24"/>
          <w:lang w:val="sq-AL"/>
        </w:rPr>
        <w:t>Vangelova</w:t>
      </w:r>
      <w:proofErr w:type="spellEnd"/>
      <w:r w:rsidRPr="00520DB5">
        <w:rPr>
          <w:rFonts w:ascii="Garamond" w:hAnsi="Garamond" w:cs="Times New Roman"/>
          <w:i/>
          <w:iCs/>
          <w:color w:val="000000"/>
          <w:sz w:val="24"/>
          <w:szCs w:val="24"/>
          <w:lang w:val="sq-AL"/>
        </w:rPr>
        <w:t xml:space="preserve"> dhe të Tjerë kundër Maqedonisë së Veriut </w:t>
      </w:r>
      <w:r w:rsidRPr="00520DB5">
        <w:rPr>
          <w:rFonts w:ascii="Garamond" w:hAnsi="Garamond" w:cs="Times New Roman"/>
          <w:color w:val="000000"/>
          <w:sz w:val="24"/>
          <w:szCs w:val="24"/>
          <w:lang w:val="sq-AL"/>
        </w:rPr>
        <w:t xml:space="preserve">(vendim) [Komiteti], nr. 17218/17, § 11, 17 </w:t>
      </w:r>
      <w:r w:rsidR="00805461" w:rsidRPr="00520DB5">
        <w:rPr>
          <w:rFonts w:ascii="Garamond" w:hAnsi="Garamond" w:cs="Times New Roman"/>
          <w:color w:val="000000"/>
          <w:sz w:val="24"/>
          <w:szCs w:val="24"/>
          <w:lang w:val="sq-AL"/>
        </w:rPr>
        <w:t xml:space="preserve">maj </w:t>
      </w:r>
      <w:r w:rsidRPr="00520DB5">
        <w:rPr>
          <w:rFonts w:ascii="Garamond" w:hAnsi="Garamond" w:cs="Times New Roman"/>
          <w:color w:val="000000"/>
          <w:sz w:val="24"/>
          <w:szCs w:val="24"/>
          <w:lang w:val="sq-AL"/>
        </w:rPr>
        <w:t xml:space="preserve">2022). </w:t>
      </w:r>
    </w:p>
    <w:p w14:paraId="015DF645" w14:textId="4A03AD1A"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21. Megjithatë, kërkuesit nuk depozituan kurrë një kërkesë për kompensimin e dëmeve që mund të kenë vuajtur</w:t>
      </w:r>
      <w:r w:rsidR="00D36E8E">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për shkak të legjislacionit konkret. Një pretendim i tillë do të kishte qenë i mundur, në parim, në mbështetje të </w:t>
      </w:r>
      <w:r w:rsidR="00D36E8E" w:rsidRPr="00520DB5">
        <w:rPr>
          <w:rFonts w:ascii="Garamond" w:hAnsi="Garamond" w:cs="Times New Roman"/>
          <w:color w:val="000000"/>
          <w:sz w:val="24"/>
          <w:szCs w:val="24"/>
          <w:lang w:val="sq-AL"/>
        </w:rPr>
        <w:t xml:space="preserve">ligjit </w:t>
      </w:r>
      <w:r w:rsidRPr="00520DB5">
        <w:rPr>
          <w:rFonts w:ascii="Garamond" w:hAnsi="Garamond" w:cs="Times New Roman"/>
          <w:color w:val="000000"/>
          <w:sz w:val="24"/>
          <w:szCs w:val="24"/>
          <w:lang w:val="sq-AL"/>
        </w:rPr>
        <w:t>nr. 8510 ose të Kodit Civil (shih paragrafët 10</w:t>
      </w:r>
      <w:r w:rsidR="00D36E8E">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11 më sipër). </w:t>
      </w:r>
    </w:p>
    <w:p w14:paraId="0CBD5A3C" w14:textId="79B27342"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22. Në këtë kontekst, Gjykata vëren se kërkuesit paraqitën faktikisht përpara saj një kërkesë, </w:t>
      </w:r>
      <w:proofErr w:type="spellStart"/>
      <w:r w:rsidRPr="00520DB5">
        <w:rPr>
          <w:rFonts w:ascii="Garamond" w:hAnsi="Garamond" w:cs="Times New Roman"/>
          <w:i/>
          <w:iCs/>
          <w:color w:val="000000"/>
          <w:sz w:val="24"/>
          <w:szCs w:val="24"/>
          <w:lang w:val="sq-AL"/>
        </w:rPr>
        <w:t>inter</w:t>
      </w:r>
      <w:proofErr w:type="spellEnd"/>
      <w:r w:rsidRPr="00520DB5">
        <w:rPr>
          <w:rFonts w:ascii="Garamond" w:hAnsi="Garamond" w:cs="Times New Roman"/>
          <w:i/>
          <w:iCs/>
          <w:color w:val="000000"/>
          <w:sz w:val="24"/>
          <w:szCs w:val="24"/>
          <w:lang w:val="sq-AL"/>
        </w:rPr>
        <w:t xml:space="preserve"> </w:t>
      </w:r>
      <w:proofErr w:type="spellStart"/>
      <w:r w:rsidRPr="00520DB5">
        <w:rPr>
          <w:rFonts w:ascii="Garamond" w:hAnsi="Garamond" w:cs="Times New Roman"/>
          <w:i/>
          <w:iCs/>
          <w:color w:val="000000"/>
          <w:sz w:val="24"/>
          <w:szCs w:val="24"/>
          <w:lang w:val="sq-AL"/>
        </w:rPr>
        <w:t>alia</w:t>
      </w:r>
      <w:proofErr w:type="spellEnd"/>
      <w:r w:rsidRPr="00520DB5">
        <w:rPr>
          <w:rFonts w:ascii="Garamond" w:hAnsi="Garamond" w:cs="Times New Roman"/>
          <w:i/>
          <w:iCs/>
          <w:color w:val="000000"/>
          <w:sz w:val="24"/>
          <w:szCs w:val="24"/>
          <w:lang w:val="sq-AL"/>
        </w:rPr>
        <w:t xml:space="preserve">, </w:t>
      </w:r>
      <w:r w:rsidRPr="00520DB5">
        <w:rPr>
          <w:rFonts w:ascii="Garamond" w:hAnsi="Garamond" w:cs="Times New Roman"/>
          <w:color w:val="000000"/>
          <w:sz w:val="24"/>
          <w:szCs w:val="24"/>
          <w:lang w:val="sq-AL"/>
        </w:rPr>
        <w:t xml:space="preserve">për dëmet pasurore. Megjithatë, fillimisht </w:t>
      </w:r>
      <w:r w:rsidR="004B6DAC">
        <w:rPr>
          <w:rFonts w:ascii="Garamond" w:hAnsi="Garamond" w:cs="Times New Roman"/>
          <w:color w:val="000000"/>
          <w:sz w:val="24"/>
          <w:szCs w:val="24"/>
          <w:lang w:val="sq-AL"/>
        </w:rPr>
        <w:t>u</w:t>
      </w:r>
      <w:r w:rsidRPr="00520DB5">
        <w:rPr>
          <w:rFonts w:ascii="Garamond" w:hAnsi="Garamond" w:cs="Times New Roman"/>
          <w:color w:val="000000"/>
          <w:sz w:val="24"/>
          <w:szCs w:val="24"/>
          <w:lang w:val="sq-AL"/>
        </w:rPr>
        <w:t xml:space="preserve"> takon gjykatave vend</w:t>
      </w:r>
      <w:r w:rsidR="00B247E7">
        <w:rPr>
          <w:rFonts w:ascii="Garamond" w:hAnsi="Garamond" w:cs="Times New Roman"/>
          <w:color w:val="000000"/>
          <w:sz w:val="24"/>
          <w:szCs w:val="24"/>
          <w:lang w:val="sq-AL"/>
        </w:rPr>
        <w:t>ë</w:t>
      </w:r>
      <w:r w:rsidRPr="00520DB5">
        <w:rPr>
          <w:rFonts w:ascii="Garamond" w:hAnsi="Garamond" w:cs="Times New Roman"/>
          <w:color w:val="000000"/>
          <w:sz w:val="24"/>
          <w:szCs w:val="24"/>
          <w:lang w:val="sq-AL"/>
        </w:rPr>
        <w:t xml:space="preserve">se që të vlerësojnë faktet e një çështjeje, dhe Gjykata nuk duhet të veprojë si gjykatë e shkallës së parë. </w:t>
      </w:r>
    </w:p>
    <w:p w14:paraId="573B725E" w14:textId="62913820"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23. Gjykata vëren se sipas </w:t>
      </w:r>
      <w:r w:rsidR="00B247E7" w:rsidRPr="00520DB5">
        <w:rPr>
          <w:rFonts w:ascii="Garamond" w:hAnsi="Garamond" w:cs="Times New Roman"/>
          <w:color w:val="000000"/>
          <w:sz w:val="24"/>
          <w:szCs w:val="24"/>
          <w:lang w:val="sq-AL"/>
        </w:rPr>
        <w:t xml:space="preserve">nenit </w:t>
      </w:r>
      <w:r w:rsidRPr="00520DB5">
        <w:rPr>
          <w:rFonts w:ascii="Garamond" w:hAnsi="Garamond" w:cs="Times New Roman"/>
          <w:color w:val="000000"/>
          <w:sz w:val="24"/>
          <w:szCs w:val="24"/>
          <w:lang w:val="sq-AL"/>
        </w:rPr>
        <w:t xml:space="preserve">122 të Kushtetutës së Shqipërisë çdo marrëveshje ndërkombëtare e ratifikuar përbën një pjesë të sistemit juridik të brendshëm (pasi publikohet në Fletoren Zyrtare), në parim është e zbatueshme në mënyrë të drejtpërdrejtë dhe ka prioritet kundrejt ligjeve të vendit që nuk përputhen me të. Sipas </w:t>
      </w:r>
      <w:r w:rsidR="00500F58" w:rsidRPr="00520DB5">
        <w:rPr>
          <w:rFonts w:ascii="Garamond" w:hAnsi="Garamond" w:cs="Times New Roman"/>
          <w:color w:val="000000"/>
          <w:sz w:val="24"/>
          <w:szCs w:val="24"/>
          <w:lang w:val="sq-AL"/>
        </w:rPr>
        <w:t xml:space="preserve">nenit </w:t>
      </w:r>
      <w:r w:rsidRPr="00520DB5">
        <w:rPr>
          <w:rFonts w:ascii="Garamond" w:hAnsi="Garamond" w:cs="Times New Roman"/>
          <w:color w:val="000000"/>
          <w:sz w:val="24"/>
          <w:szCs w:val="24"/>
          <w:lang w:val="sq-AL"/>
        </w:rPr>
        <w:t>17 § 2 të Kushtetutës, kufizimet e të drejtave dhe lirive kushtetuese</w:t>
      </w:r>
      <w:r w:rsidR="00500F58">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“nuk mund të tejkalojnë në asnjë rast kufizimet e parashikuara në Konventën Evropiane për të Drejtat e Njeriut”. </w:t>
      </w:r>
    </w:p>
    <w:p w14:paraId="1E9F650D" w14:textId="58F819CB"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24. Në këtë mënyrë, Gjykata është një pjesë integrale e sistemit juridik të Shqipërisë, ku ajo ka përparësi kundrejt dispozitave </w:t>
      </w:r>
      <w:proofErr w:type="spellStart"/>
      <w:r w:rsidRPr="00520DB5">
        <w:rPr>
          <w:rFonts w:ascii="Garamond" w:hAnsi="Garamond" w:cs="Times New Roman"/>
          <w:color w:val="000000"/>
          <w:sz w:val="24"/>
          <w:szCs w:val="24"/>
          <w:lang w:val="sq-AL"/>
        </w:rPr>
        <w:t>statutore</w:t>
      </w:r>
      <w:proofErr w:type="spellEnd"/>
      <w:r w:rsidRPr="00520DB5">
        <w:rPr>
          <w:rFonts w:ascii="Garamond" w:hAnsi="Garamond" w:cs="Times New Roman"/>
          <w:color w:val="000000"/>
          <w:sz w:val="24"/>
          <w:szCs w:val="24"/>
          <w:lang w:val="sq-AL"/>
        </w:rPr>
        <w:t xml:space="preserve"> kundërshtuese dhe është e zbatueshme në mënyrë të drejtpërdrejtë. Për këtë arsye, </w:t>
      </w:r>
      <w:r w:rsidR="00563E43">
        <w:rPr>
          <w:rFonts w:ascii="Garamond" w:hAnsi="Garamond" w:cs="Times New Roman"/>
          <w:color w:val="000000"/>
          <w:sz w:val="24"/>
          <w:szCs w:val="24"/>
          <w:lang w:val="sq-AL"/>
        </w:rPr>
        <w:t>u</w:t>
      </w:r>
      <w:r w:rsidRPr="00520DB5">
        <w:rPr>
          <w:rFonts w:ascii="Garamond" w:hAnsi="Garamond" w:cs="Times New Roman"/>
          <w:color w:val="000000"/>
          <w:sz w:val="24"/>
          <w:szCs w:val="24"/>
          <w:lang w:val="sq-AL"/>
        </w:rPr>
        <w:t xml:space="preserve"> takon kërkuesve në çështjen konkrete që të argumentojnë përpara autoriteteve vend</w:t>
      </w:r>
      <w:r w:rsidR="00563E43">
        <w:rPr>
          <w:rFonts w:ascii="Garamond" w:hAnsi="Garamond" w:cs="Times New Roman"/>
          <w:color w:val="000000"/>
          <w:sz w:val="24"/>
          <w:szCs w:val="24"/>
          <w:lang w:val="sq-AL"/>
        </w:rPr>
        <w:t>ë</w:t>
      </w:r>
      <w:r w:rsidRPr="00520DB5">
        <w:rPr>
          <w:rFonts w:ascii="Garamond" w:hAnsi="Garamond" w:cs="Times New Roman"/>
          <w:color w:val="000000"/>
          <w:sz w:val="24"/>
          <w:szCs w:val="24"/>
          <w:lang w:val="sq-AL"/>
        </w:rPr>
        <w:t>se se në rrethanat e kësaj çështje, janë shkelur të drejtat e tyre</w:t>
      </w:r>
      <w:r w:rsidR="00563E43">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sipas </w:t>
      </w:r>
      <w:r w:rsidR="00563E43" w:rsidRPr="00520DB5">
        <w:rPr>
          <w:rFonts w:ascii="Garamond" w:hAnsi="Garamond" w:cs="Times New Roman"/>
          <w:color w:val="000000"/>
          <w:sz w:val="24"/>
          <w:szCs w:val="24"/>
          <w:lang w:val="sq-AL"/>
        </w:rPr>
        <w:t xml:space="preserve">nenit </w:t>
      </w:r>
      <w:r w:rsidRPr="00520DB5">
        <w:rPr>
          <w:rFonts w:ascii="Garamond" w:hAnsi="Garamond" w:cs="Times New Roman"/>
          <w:color w:val="000000"/>
          <w:sz w:val="24"/>
          <w:szCs w:val="24"/>
          <w:lang w:val="sq-AL"/>
        </w:rPr>
        <w:t xml:space="preserve">1 të </w:t>
      </w:r>
      <w:r w:rsidR="00563E43" w:rsidRPr="00520DB5">
        <w:rPr>
          <w:rFonts w:ascii="Garamond" w:hAnsi="Garamond" w:cs="Times New Roman"/>
          <w:color w:val="000000"/>
          <w:sz w:val="24"/>
          <w:szCs w:val="24"/>
          <w:lang w:val="sq-AL"/>
        </w:rPr>
        <w:t>protokollit nr</w:t>
      </w:r>
      <w:r w:rsidRPr="00520DB5">
        <w:rPr>
          <w:rFonts w:ascii="Garamond" w:hAnsi="Garamond" w:cs="Times New Roman"/>
          <w:color w:val="000000"/>
          <w:sz w:val="24"/>
          <w:szCs w:val="24"/>
          <w:lang w:val="sq-AL"/>
        </w:rPr>
        <w:t xml:space="preserve">. 1 (shih edhe </w:t>
      </w:r>
      <w:r w:rsidRPr="00520DB5">
        <w:rPr>
          <w:rFonts w:ascii="Garamond" w:hAnsi="Garamond" w:cs="Times New Roman"/>
          <w:i/>
          <w:iCs/>
          <w:color w:val="000000"/>
          <w:sz w:val="24"/>
          <w:szCs w:val="24"/>
          <w:lang w:val="sq-AL"/>
        </w:rPr>
        <w:t>Shpata kundër Institutit të Sigurimeve Shoqërore</w:t>
      </w:r>
      <w:r w:rsidRPr="00520DB5">
        <w:rPr>
          <w:rFonts w:ascii="Garamond" w:hAnsi="Garamond" w:cs="Times New Roman"/>
          <w:color w:val="000000"/>
          <w:sz w:val="24"/>
          <w:szCs w:val="24"/>
          <w:lang w:val="sq-AL"/>
        </w:rPr>
        <w:t xml:space="preserve">, Gjykata e Lartë e Shqipërisë, vendim i datës 22 </w:t>
      </w:r>
      <w:r w:rsidR="00563E43" w:rsidRPr="00520DB5">
        <w:rPr>
          <w:rFonts w:ascii="Garamond" w:hAnsi="Garamond" w:cs="Times New Roman"/>
          <w:color w:val="000000"/>
          <w:sz w:val="24"/>
          <w:szCs w:val="24"/>
          <w:lang w:val="sq-AL"/>
        </w:rPr>
        <w:t xml:space="preserve">korrik </w:t>
      </w:r>
      <w:r w:rsidRPr="00520DB5">
        <w:rPr>
          <w:rFonts w:ascii="Garamond" w:hAnsi="Garamond" w:cs="Times New Roman"/>
          <w:color w:val="000000"/>
          <w:sz w:val="24"/>
          <w:szCs w:val="24"/>
          <w:lang w:val="sq-AL"/>
        </w:rPr>
        <w:t xml:space="preserve">2021, ku Gjykata e Lartë zbatoi në mënyrë të drejtpërdrejtë </w:t>
      </w:r>
      <w:r w:rsidR="00563E43" w:rsidRPr="00520DB5">
        <w:rPr>
          <w:rFonts w:ascii="Garamond" w:hAnsi="Garamond" w:cs="Times New Roman"/>
          <w:color w:val="000000"/>
          <w:sz w:val="24"/>
          <w:szCs w:val="24"/>
          <w:lang w:val="sq-AL"/>
        </w:rPr>
        <w:t xml:space="preserve">nenin </w:t>
      </w:r>
      <w:r w:rsidRPr="00520DB5">
        <w:rPr>
          <w:rFonts w:ascii="Garamond" w:hAnsi="Garamond" w:cs="Times New Roman"/>
          <w:color w:val="000000"/>
          <w:sz w:val="24"/>
          <w:szCs w:val="24"/>
          <w:lang w:val="sq-AL"/>
        </w:rPr>
        <w:t xml:space="preserve">6 të Konventës, në mbështetje të çështjes </w:t>
      </w:r>
      <w:proofErr w:type="spellStart"/>
      <w:r w:rsidRPr="00520DB5">
        <w:rPr>
          <w:rFonts w:ascii="Garamond" w:hAnsi="Garamond" w:cs="Times New Roman"/>
          <w:i/>
          <w:iCs/>
          <w:color w:val="000000"/>
          <w:sz w:val="24"/>
          <w:szCs w:val="24"/>
          <w:lang w:val="sq-AL"/>
        </w:rPr>
        <w:t>Dauti</w:t>
      </w:r>
      <w:proofErr w:type="spellEnd"/>
      <w:r w:rsidRPr="00520DB5">
        <w:rPr>
          <w:rFonts w:ascii="Garamond" w:hAnsi="Garamond" w:cs="Times New Roman"/>
          <w:i/>
          <w:iCs/>
          <w:color w:val="000000"/>
          <w:sz w:val="24"/>
          <w:szCs w:val="24"/>
          <w:lang w:val="sq-AL"/>
        </w:rPr>
        <w:t xml:space="preserve"> kundër Shqipërisë</w:t>
      </w:r>
      <w:r w:rsidRPr="00520DB5">
        <w:rPr>
          <w:rFonts w:ascii="Garamond" w:hAnsi="Garamond" w:cs="Times New Roman"/>
          <w:color w:val="000000"/>
          <w:sz w:val="24"/>
          <w:szCs w:val="24"/>
          <w:lang w:val="sq-AL"/>
        </w:rPr>
        <w:t xml:space="preserve">, nr. 19206/05, 3 </w:t>
      </w:r>
      <w:r w:rsidR="00563E43" w:rsidRPr="00520DB5">
        <w:rPr>
          <w:rFonts w:ascii="Garamond" w:hAnsi="Garamond" w:cs="Times New Roman"/>
          <w:color w:val="000000"/>
          <w:sz w:val="24"/>
          <w:szCs w:val="24"/>
          <w:lang w:val="sq-AL"/>
        </w:rPr>
        <w:t xml:space="preserve">shkurt </w:t>
      </w:r>
      <w:r w:rsidRPr="00520DB5">
        <w:rPr>
          <w:rFonts w:ascii="Garamond" w:hAnsi="Garamond" w:cs="Times New Roman"/>
          <w:color w:val="000000"/>
          <w:sz w:val="24"/>
          <w:szCs w:val="24"/>
          <w:lang w:val="sq-AL"/>
        </w:rPr>
        <w:t>2009). Autoritetet vend</w:t>
      </w:r>
      <w:r w:rsidR="00563E43">
        <w:rPr>
          <w:rFonts w:ascii="Garamond" w:hAnsi="Garamond" w:cs="Times New Roman"/>
          <w:color w:val="000000"/>
          <w:sz w:val="24"/>
          <w:szCs w:val="24"/>
          <w:lang w:val="sq-AL"/>
        </w:rPr>
        <w:t>ë</w:t>
      </w:r>
      <w:r w:rsidRPr="00520DB5">
        <w:rPr>
          <w:rFonts w:ascii="Garamond" w:hAnsi="Garamond" w:cs="Times New Roman"/>
          <w:color w:val="000000"/>
          <w:sz w:val="24"/>
          <w:szCs w:val="24"/>
          <w:lang w:val="sq-AL"/>
        </w:rPr>
        <w:t>se do të kishin pasur mundësinë t’</w:t>
      </w:r>
      <w:r w:rsidR="00563E43">
        <w:rPr>
          <w:rFonts w:ascii="Garamond" w:hAnsi="Garamond" w:cs="Times New Roman"/>
          <w:color w:val="000000"/>
          <w:sz w:val="24"/>
          <w:szCs w:val="24"/>
          <w:lang w:val="sq-AL"/>
        </w:rPr>
        <w:t>u</w:t>
      </w:r>
      <w:r w:rsidRPr="00520DB5">
        <w:rPr>
          <w:rFonts w:ascii="Garamond" w:hAnsi="Garamond" w:cs="Times New Roman"/>
          <w:color w:val="000000"/>
          <w:sz w:val="24"/>
          <w:szCs w:val="24"/>
          <w:lang w:val="sq-AL"/>
        </w:rPr>
        <w:t xml:space="preserve"> përgjigjeshin këtyre argumenteve dhe vendimi i Gjykatës Kushtetuese i datës 19 </w:t>
      </w:r>
      <w:r w:rsidR="006F0946" w:rsidRPr="00520DB5">
        <w:rPr>
          <w:rFonts w:ascii="Garamond" w:hAnsi="Garamond" w:cs="Times New Roman"/>
          <w:color w:val="000000"/>
          <w:sz w:val="24"/>
          <w:szCs w:val="24"/>
          <w:lang w:val="sq-AL"/>
        </w:rPr>
        <w:t xml:space="preserve">mars </w:t>
      </w:r>
      <w:r w:rsidRPr="00520DB5">
        <w:rPr>
          <w:rFonts w:ascii="Garamond" w:hAnsi="Garamond" w:cs="Times New Roman"/>
          <w:color w:val="000000"/>
          <w:sz w:val="24"/>
          <w:szCs w:val="24"/>
          <w:lang w:val="sq-AL"/>
        </w:rPr>
        <w:t xml:space="preserve">2008 nuk i gjykoi këto pretendime si të pavlefshme për qëllimet e çështjes në fjalë. </w:t>
      </w:r>
    </w:p>
    <w:p w14:paraId="63F4697B" w14:textId="2BAB4FE4"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25. Nëse kërkuesit do ta kishin depozituar këtë padi të brendshme, ata do t’</w:t>
      </w:r>
      <w:r w:rsidR="006F0946">
        <w:rPr>
          <w:rFonts w:ascii="Garamond" w:hAnsi="Garamond" w:cs="Times New Roman"/>
          <w:color w:val="000000"/>
          <w:sz w:val="24"/>
          <w:szCs w:val="24"/>
          <w:lang w:val="sq-AL"/>
        </w:rPr>
        <w:t>u</w:t>
      </w:r>
      <w:r w:rsidRPr="00520DB5">
        <w:rPr>
          <w:rFonts w:ascii="Garamond" w:hAnsi="Garamond" w:cs="Times New Roman"/>
          <w:color w:val="000000"/>
          <w:sz w:val="24"/>
          <w:szCs w:val="24"/>
          <w:lang w:val="sq-AL"/>
        </w:rPr>
        <w:t xml:space="preserve"> kishin dhënë gjykatave vend</w:t>
      </w:r>
      <w:r w:rsidR="006F0946">
        <w:rPr>
          <w:rFonts w:ascii="Garamond" w:hAnsi="Garamond" w:cs="Times New Roman"/>
          <w:color w:val="000000"/>
          <w:sz w:val="24"/>
          <w:szCs w:val="24"/>
          <w:lang w:val="sq-AL"/>
        </w:rPr>
        <w:t>ë</w:t>
      </w:r>
      <w:r w:rsidRPr="00520DB5">
        <w:rPr>
          <w:rFonts w:ascii="Garamond" w:hAnsi="Garamond" w:cs="Times New Roman"/>
          <w:color w:val="000000"/>
          <w:sz w:val="24"/>
          <w:szCs w:val="24"/>
          <w:lang w:val="sq-AL"/>
        </w:rPr>
        <w:t>se mundësinë për të cilin është hartuar rregull</w:t>
      </w:r>
      <w:r w:rsidR="007102AD">
        <w:rPr>
          <w:rFonts w:ascii="Garamond" w:hAnsi="Garamond" w:cs="Times New Roman"/>
          <w:color w:val="000000"/>
          <w:sz w:val="24"/>
          <w:szCs w:val="24"/>
          <w:lang w:val="sq-AL"/>
        </w:rPr>
        <w:t>a</w:t>
      </w:r>
      <w:r w:rsidRPr="00520DB5">
        <w:rPr>
          <w:rFonts w:ascii="Garamond" w:hAnsi="Garamond" w:cs="Times New Roman"/>
          <w:color w:val="000000"/>
          <w:sz w:val="24"/>
          <w:szCs w:val="24"/>
          <w:lang w:val="sq-AL"/>
        </w:rPr>
        <w:t xml:space="preserve"> </w:t>
      </w:r>
      <w:r w:rsidR="007102AD">
        <w:rPr>
          <w:rFonts w:ascii="Garamond" w:hAnsi="Garamond" w:cs="Times New Roman"/>
          <w:color w:val="000000"/>
          <w:sz w:val="24"/>
          <w:szCs w:val="24"/>
          <w:lang w:val="sq-AL"/>
        </w:rPr>
        <w:t>e</w:t>
      </w:r>
      <w:r w:rsidRPr="00520DB5">
        <w:rPr>
          <w:rFonts w:ascii="Garamond" w:hAnsi="Garamond" w:cs="Times New Roman"/>
          <w:color w:val="000000"/>
          <w:sz w:val="24"/>
          <w:szCs w:val="24"/>
          <w:lang w:val="sq-AL"/>
        </w:rPr>
        <w:t xml:space="preserve"> shterimit të mjeteve të brendshme, më konkretisht për të përcaktuar çështjen e përputhshmërisë së masave vend</w:t>
      </w:r>
      <w:r w:rsidR="006010F2">
        <w:rPr>
          <w:rFonts w:ascii="Garamond" w:hAnsi="Garamond" w:cs="Times New Roman"/>
          <w:color w:val="000000"/>
          <w:sz w:val="24"/>
          <w:szCs w:val="24"/>
          <w:lang w:val="sq-AL"/>
        </w:rPr>
        <w:t>ë</w:t>
      </w:r>
      <w:r w:rsidRPr="00520DB5">
        <w:rPr>
          <w:rFonts w:ascii="Garamond" w:hAnsi="Garamond" w:cs="Times New Roman"/>
          <w:color w:val="000000"/>
          <w:sz w:val="24"/>
          <w:szCs w:val="24"/>
          <w:lang w:val="sq-AL"/>
        </w:rPr>
        <w:t>se që binin në kundërshtim me Konventën, dhe nëse kërkuesit do t’i kishin paraqitur ankesat e tyre përpara Gjykatës, ajo do të kishte marrë edhe gjykimet e gjykatave vend</w:t>
      </w:r>
      <w:r w:rsidR="006010F2">
        <w:rPr>
          <w:rFonts w:ascii="Garamond" w:hAnsi="Garamond" w:cs="Times New Roman"/>
          <w:color w:val="000000"/>
          <w:sz w:val="24"/>
          <w:szCs w:val="24"/>
          <w:lang w:val="sq-AL"/>
        </w:rPr>
        <w:t>ë</w:t>
      </w:r>
      <w:r w:rsidRPr="00520DB5">
        <w:rPr>
          <w:rFonts w:ascii="Garamond" w:hAnsi="Garamond" w:cs="Times New Roman"/>
          <w:color w:val="000000"/>
          <w:sz w:val="24"/>
          <w:szCs w:val="24"/>
          <w:lang w:val="sq-AL"/>
        </w:rPr>
        <w:t xml:space="preserve">se (shih </w:t>
      </w:r>
      <w:proofErr w:type="spellStart"/>
      <w:r w:rsidRPr="00520DB5">
        <w:rPr>
          <w:rFonts w:ascii="Garamond" w:hAnsi="Garamond" w:cs="Times New Roman"/>
          <w:i/>
          <w:iCs/>
          <w:color w:val="000000"/>
          <w:sz w:val="24"/>
          <w:szCs w:val="24"/>
          <w:lang w:val="sq-AL"/>
        </w:rPr>
        <w:t>Burden</w:t>
      </w:r>
      <w:proofErr w:type="spellEnd"/>
      <w:r w:rsidRPr="00520DB5">
        <w:rPr>
          <w:rFonts w:ascii="Garamond" w:hAnsi="Garamond" w:cs="Times New Roman"/>
          <w:i/>
          <w:iCs/>
          <w:color w:val="000000"/>
          <w:sz w:val="24"/>
          <w:szCs w:val="24"/>
          <w:lang w:val="sq-AL"/>
        </w:rPr>
        <w:t xml:space="preserve"> kundër Mbretërisë së Bashkuar </w:t>
      </w:r>
      <w:r w:rsidRPr="00520DB5">
        <w:rPr>
          <w:rFonts w:ascii="Garamond" w:hAnsi="Garamond" w:cs="Times New Roman"/>
          <w:color w:val="000000"/>
          <w:sz w:val="24"/>
          <w:szCs w:val="24"/>
          <w:lang w:val="sq-AL"/>
        </w:rPr>
        <w:t>[</w:t>
      </w:r>
      <w:proofErr w:type="spellStart"/>
      <w:r w:rsidRPr="00520DB5">
        <w:rPr>
          <w:rFonts w:ascii="Garamond" w:hAnsi="Garamond" w:cs="Times New Roman"/>
          <w:color w:val="000000"/>
          <w:sz w:val="24"/>
          <w:szCs w:val="24"/>
          <w:lang w:val="sq-AL"/>
        </w:rPr>
        <w:t>DHM</w:t>
      </w:r>
      <w:proofErr w:type="spellEnd"/>
      <w:r w:rsidRPr="00520DB5">
        <w:rPr>
          <w:rFonts w:ascii="Garamond" w:hAnsi="Garamond" w:cs="Times New Roman"/>
          <w:color w:val="000000"/>
          <w:sz w:val="24"/>
          <w:szCs w:val="24"/>
          <w:lang w:val="sq-AL"/>
        </w:rPr>
        <w:t xml:space="preserve">], nr. 13378/05, § 42, </w:t>
      </w:r>
      <w:proofErr w:type="spellStart"/>
      <w:r w:rsidRPr="00520DB5">
        <w:rPr>
          <w:rFonts w:ascii="Garamond" w:hAnsi="Garamond" w:cs="Times New Roman"/>
          <w:color w:val="000000"/>
          <w:sz w:val="24"/>
          <w:szCs w:val="24"/>
          <w:lang w:val="sq-AL"/>
        </w:rPr>
        <w:t>GJEDNJ</w:t>
      </w:r>
      <w:proofErr w:type="spellEnd"/>
      <w:r w:rsidRPr="00520DB5">
        <w:rPr>
          <w:rFonts w:ascii="Garamond" w:hAnsi="Garamond" w:cs="Times New Roman"/>
          <w:color w:val="000000"/>
          <w:sz w:val="24"/>
          <w:szCs w:val="24"/>
          <w:lang w:val="sq-AL"/>
        </w:rPr>
        <w:t xml:space="preserve"> 2008, dhe, </w:t>
      </w:r>
      <w:proofErr w:type="spellStart"/>
      <w:r w:rsidRPr="00520DB5">
        <w:rPr>
          <w:rFonts w:ascii="Garamond" w:hAnsi="Garamond" w:cs="Times New Roman"/>
          <w:i/>
          <w:iCs/>
          <w:color w:val="000000"/>
          <w:sz w:val="24"/>
          <w:szCs w:val="24"/>
          <w:lang w:val="sq-AL"/>
        </w:rPr>
        <w:t>mutatis</w:t>
      </w:r>
      <w:proofErr w:type="spellEnd"/>
      <w:r w:rsidRPr="00520DB5">
        <w:rPr>
          <w:rFonts w:ascii="Garamond" w:hAnsi="Garamond" w:cs="Times New Roman"/>
          <w:i/>
          <w:iCs/>
          <w:color w:val="000000"/>
          <w:sz w:val="24"/>
          <w:szCs w:val="24"/>
          <w:lang w:val="sq-AL"/>
        </w:rPr>
        <w:t xml:space="preserve"> </w:t>
      </w:r>
      <w:proofErr w:type="spellStart"/>
      <w:r w:rsidRPr="00520DB5">
        <w:rPr>
          <w:rFonts w:ascii="Garamond" w:hAnsi="Garamond" w:cs="Times New Roman"/>
          <w:i/>
          <w:iCs/>
          <w:color w:val="000000"/>
          <w:sz w:val="24"/>
          <w:szCs w:val="24"/>
          <w:lang w:val="sq-AL"/>
        </w:rPr>
        <w:t>mutandis</w:t>
      </w:r>
      <w:proofErr w:type="spellEnd"/>
      <w:r w:rsidRPr="00520DB5">
        <w:rPr>
          <w:rFonts w:ascii="Garamond" w:hAnsi="Garamond" w:cs="Times New Roman"/>
          <w:i/>
          <w:iCs/>
          <w:color w:val="000000"/>
          <w:sz w:val="24"/>
          <w:szCs w:val="24"/>
          <w:lang w:val="sq-AL"/>
        </w:rPr>
        <w:t xml:space="preserve">, </w:t>
      </w:r>
      <w:proofErr w:type="spellStart"/>
      <w:r w:rsidRPr="00520DB5">
        <w:rPr>
          <w:rFonts w:ascii="Garamond" w:hAnsi="Garamond" w:cs="Times New Roman"/>
          <w:i/>
          <w:iCs/>
          <w:color w:val="000000"/>
          <w:sz w:val="24"/>
          <w:szCs w:val="24"/>
          <w:lang w:val="sq-AL"/>
        </w:rPr>
        <w:t>Saygili</w:t>
      </w:r>
      <w:proofErr w:type="spellEnd"/>
      <w:r w:rsidRPr="00520DB5">
        <w:rPr>
          <w:rFonts w:ascii="Garamond" w:hAnsi="Garamond" w:cs="Times New Roman"/>
          <w:i/>
          <w:iCs/>
          <w:color w:val="000000"/>
          <w:sz w:val="24"/>
          <w:szCs w:val="24"/>
          <w:lang w:val="sq-AL"/>
        </w:rPr>
        <w:t xml:space="preserve"> dhe </w:t>
      </w:r>
      <w:proofErr w:type="spellStart"/>
      <w:r w:rsidRPr="00520DB5">
        <w:rPr>
          <w:rFonts w:ascii="Garamond" w:hAnsi="Garamond" w:cs="Times New Roman"/>
          <w:i/>
          <w:iCs/>
          <w:color w:val="000000"/>
          <w:sz w:val="24"/>
          <w:szCs w:val="24"/>
          <w:lang w:val="sq-AL"/>
        </w:rPr>
        <w:t>Karataş</w:t>
      </w:r>
      <w:proofErr w:type="spellEnd"/>
      <w:r w:rsidRPr="00520DB5">
        <w:rPr>
          <w:rFonts w:ascii="Garamond" w:hAnsi="Garamond" w:cs="Times New Roman"/>
          <w:i/>
          <w:iCs/>
          <w:color w:val="000000"/>
          <w:sz w:val="24"/>
          <w:szCs w:val="24"/>
          <w:lang w:val="sq-AL"/>
        </w:rPr>
        <w:t xml:space="preserve"> kundër Turqisë</w:t>
      </w:r>
      <w:r w:rsidRPr="00520DB5">
        <w:rPr>
          <w:rFonts w:ascii="Garamond" w:hAnsi="Garamond" w:cs="Times New Roman"/>
          <w:color w:val="000000"/>
          <w:sz w:val="24"/>
          <w:szCs w:val="24"/>
          <w:lang w:val="sq-AL"/>
        </w:rPr>
        <w:t xml:space="preserve">, nr. 6875/05, § 36, 16 </w:t>
      </w:r>
      <w:r w:rsidR="006010F2" w:rsidRPr="00520DB5">
        <w:rPr>
          <w:rFonts w:ascii="Garamond" w:hAnsi="Garamond" w:cs="Times New Roman"/>
          <w:color w:val="000000"/>
          <w:sz w:val="24"/>
          <w:szCs w:val="24"/>
          <w:lang w:val="sq-AL"/>
        </w:rPr>
        <w:t xml:space="preserve">janar </w:t>
      </w:r>
      <w:r w:rsidRPr="00520DB5">
        <w:rPr>
          <w:rFonts w:ascii="Garamond" w:hAnsi="Garamond" w:cs="Times New Roman"/>
          <w:color w:val="000000"/>
          <w:sz w:val="24"/>
          <w:szCs w:val="24"/>
          <w:lang w:val="sq-AL"/>
        </w:rPr>
        <w:t xml:space="preserve">2018). </w:t>
      </w:r>
    </w:p>
    <w:p w14:paraId="327F71A5" w14:textId="1D0BDA78"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26. Në këtë mënyrë, kërkuesit nuk morën hapat e duhur për t’</w:t>
      </w:r>
      <w:r w:rsidR="008C4F7B">
        <w:rPr>
          <w:rFonts w:ascii="Garamond" w:hAnsi="Garamond" w:cs="Times New Roman"/>
          <w:color w:val="000000"/>
          <w:sz w:val="24"/>
          <w:szCs w:val="24"/>
          <w:lang w:val="sq-AL"/>
        </w:rPr>
        <w:t>u</w:t>
      </w:r>
      <w:r w:rsidRPr="00520DB5">
        <w:rPr>
          <w:rFonts w:ascii="Garamond" w:hAnsi="Garamond" w:cs="Times New Roman"/>
          <w:color w:val="000000"/>
          <w:sz w:val="24"/>
          <w:szCs w:val="24"/>
          <w:lang w:val="sq-AL"/>
        </w:rPr>
        <w:t xml:space="preserve"> bërë të mundur gjykatave vend</w:t>
      </w:r>
      <w:r w:rsidR="008C4F7B">
        <w:rPr>
          <w:rFonts w:ascii="Garamond" w:hAnsi="Garamond" w:cs="Times New Roman"/>
          <w:color w:val="000000"/>
          <w:sz w:val="24"/>
          <w:szCs w:val="24"/>
          <w:lang w:val="sq-AL"/>
        </w:rPr>
        <w:t>ë</w:t>
      </w:r>
      <w:r w:rsidRPr="00520DB5">
        <w:rPr>
          <w:rFonts w:ascii="Garamond" w:hAnsi="Garamond" w:cs="Times New Roman"/>
          <w:color w:val="000000"/>
          <w:sz w:val="24"/>
          <w:szCs w:val="24"/>
          <w:lang w:val="sq-AL"/>
        </w:rPr>
        <w:t xml:space="preserve">se që të përmbushnin rolin e tyre themelor në sistemin për mbrojtjen e Konventës, ku roli i Gjykatës Evropian vinte pas tyre (shih, midis autoriteteve të tjerë, </w:t>
      </w:r>
      <w:proofErr w:type="spellStart"/>
      <w:r w:rsidRPr="00520DB5">
        <w:rPr>
          <w:rFonts w:ascii="Garamond" w:hAnsi="Garamond" w:cs="Times New Roman"/>
          <w:i/>
          <w:iCs/>
          <w:color w:val="000000"/>
          <w:sz w:val="24"/>
          <w:szCs w:val="24"/>
          <w:lang w:val="sq-AL"/>
        </w:rPr>
        <w:t>Vučković</w:t>
      </w:r>
      <w:proofErr w:type="spellEnd"/>
      <w:r w:rsidRPr="00520DB5">
        <w:rPr>
          <w:rFonts w:ascii="Garamond" w:hAnsi="Garamond" w:cs="Times New Roman"/>
          <w:i/>
          <w:iCs/>
          <w:color w:val="000000"/>
          <w:sz w:val="24"/>
          <w:szCs w:val="24"/>
          <w:lang w:val="sq-AL"/>
        </w:rPr>
        <w:t xml:space="preserve">, </w:t>
      </w:r>
      <w:r w:rsidRPr="00520DB5">
        <w:rPr>
          <w:rFonts w:ascii="Garamond" w:hAnsi="Garamond" w:cs="Times New Roman"/>
          <w:color w:val="000000"/>
          <w:sz w:val="24"/>
          <w:szCs w:val="24"/>
          <w:lang w:val="sq-AL"/>
        </w:rPr>
        <w:t>cituar më sipër, § 90). Gjykata nuk gjen as ndonjë arsye të veçantë për përjashtimin e kërkuesve nga kërkesa për shterimin e mjeteve vend</w:t>
      </w:r>
      <w:r w:rsidR="00444F40">
        <w:rPr>
          <w:rFonts w:ascii="Garamond" w:hAnsi="Garamond" w:cs="Times New Roman"/>
          <w:color w:val="000000"/>
          <w:sz w:val="24"/>
          <w:szCs w:val="24"/>
          <w:lang w:val="sq-AL"/>
        </w:rPr>
        <w:t>ë</w:t>
      </w:r>
      <w:r w:rsidRPr="00520DB5">
        <w:rPr>
          <w:rFonts w:ascii="Garamond" w:hAnsi="Garamond" w:cs="Times New Roman"/>
          <w:color w:val="000000"/>
          <w:sz w:val="24"/>
          <w:szCs w:val="24"/>
          <w:lang w:val="sq-AL"/>
        </w:rPr>
        <w:t>se</w:t>
      </w:r>
      <w:r w:rsidR="00444F40">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në përputhje me rregullat e zbatueshme dhe procedura e ligjit vend</w:t>
      </w:r>
      <w:r w:rsidR="00E01DA4">
        <w:rPr>
          <w:rFonts w:ascii="Garamond" w:hAnsi="Garamond" w:cs="Times New Roman"/>
          <w:color w:val="000000"/>
          <w:sz w:val="24"/>
          <w:szCs w:val="24"/>
          <w:lang w:val="sq-AL"/>
        </w:rPr>
        <w:t>ë</w:t>
      </w:r>
      <w:r w:rsidRPr="00520DB5">
        <w:rPr>
          <w:rFonts w:ascii="Garamond" w:hAnsi="Garamond" w:cs="Times New Roman"/>
          <w:color w:val="000000"/>
          <w:sz w:val="24"/>
          <w:szCs w:val="24"/>
          <w:lang w:val="sq-AL"/>
        </w:rPr>
        <w:t xml:space="preserve">s. </w:t>
      </w:r>
    </w:p>
    <w:p w14:paraId="5E37983D" w14:textId="4FE40C61"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27. Në lidhje me dyshimet e kërkuesve për mundësinë e suksesit të mjetit në fjalë, Gjykata ka theksuar se ekzistenca e dyshimeve për suksesin e një mjeti të caktuar që nuk është qartazi i pavlefshëm, nuk është arsye e vlefshme për </w:t>
      </w:r>
      <w:proofErr w:type="spellStart"/>
      <w:r w:rsidRPr="00520DB5">
        <w:rPr>
          <w:rFonts w:ascii="Garamond" w:hAnsi="Garamond" w:cs="Times New Roman"/>
          <w:color w:val="000000"/>
          <w:sz w:val="24"/>
          <w:szCs w:val="24"/>
          <w:lang w:val="sq-AL"/>
        </w:rPr>
        <w:t>mosshterimin</w:t>
      </w:r>
      <w:proofErr w:type="spellEnd"/>
      <w:r w:rsidRPr="00520DB5">
        <w:rPr>
          <w:rFonts w:ascii="Garamond" w:hAnsi="Garamond" w:cs="Times New Roman"/>
          <w:color w:val="000000"/>
          <w:sz w:val="24"/>
          <w:szCs w:val="24"/>
          <w:lang w:val="sq-AL"/>
        </w:rPr>
        <w:t xml:space="preserve"> e këtij mjeti (shih </w:t>
      </w:r>
      <w:proofErr w:type="spellStart"/>
      <w:r w:rsidRPr="00520DB5">
        <w:rPr>
          <w:rFonts w:ascii="Garamond" w:hAnsi="Garamond" w:cs="Times New Roman"/>
          <w:i/>
          <w:iCs/>
          <w:color w:val="000000"/>
          <w:sz w:val="24"/>
          <w:szCs w:val="24"/>
          <w:lang w:val="sq-AL"/>
        </w:rPr>
        <w:t>Vučković</w:t>
      </w:r>
      <w:proofErr w:type="spellEnd"/>
      <w:r w:rsidRPr="00520DB5">
        <w:rPr>
          <w:rFonts w:ascii="Garamond" w:hAnsi="Garamond" w:cs="Times New Roman"/>
          <w:i/>
          <w:iCs/>
          <w:color w:val="000000"/>
          <w:sz w:val="24"/>
          <w:szCs w:val="24"/>
          <w:lang w:val="sq-AL"/>
        </w:rPr>
        <w:t xml:space="preserve"> dhe të Tjerë</w:t>
      </w:r>
      <w:r w:rsidRPr="00520DB5">
        <w:rPr>
          <w:rFonts w:ascii="Garamond" w:hAnsi="Garamond" w:cs="Times New Roman"/>
          <w:color w:val="000000"/>
          <w:sz w:val="24"/>
          <w:szCs w:val="24"/>
          <w:lang w:val="sq-AL"/>
        </w:rPr>
        <w:t xml:space="preserve">, cituar më sipër, § 74). </w:t>
      </w:r>
    </w:p>
    <w:p w14:paraId="15D83913" w14:textId="6837D08A"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lastRenderedPageBreak/>
        <w:t xml:space="preserve">28. Sipas rrethanave, kjo ankesë duhet të rrëzohet sipas </w:t>
      </w:r>
      <w:r w:rsidR="00E01DA4" w:rsidRPr="00520DB5">
        <w:rPr>
          <w:rFonts w:ascii="Garamond" w:hAnsi="Garamond" w:cs="Times New Roman"/>
          <w:color w:val="000000"/>
          <w:sz w:val="24"/>
          <w:szCs w:val="24"/>
          <w:lang w:val="sq-AL"/>
        </w:rPr>
        <w:t xml:space="preserve">nenit </w:t>
      </w:r>
      <w:r w:rsidRPr="00520DB5">
        <w:rPr>
          <w:rFonts w:ascii="Garamond" w:hAnsi="Garamond" w:cs="Times New Roman"/>
          <w:color w:val="000000"/>
          <w:sz w:val="24"/>
          <w:szCs w:val="24"/>
          <w:lang w:val="sq-AL"/>
        </w:rPr>
        <w:t>35 §§ 1 dhe 4 të Konventës për mosshfrytëzim të mjeteve vend</w:t>
      </w:r>
      <w:r w:rsidR="00E01DA4">
        <w:rPr>
          <w:rFonts w:ascii="Garamond" w:hAnsi="Garamond" w:cs="Times New Roman"/>
          <w:color w:val="000000"/>
          <w:sz w:val="24"/>
          <w:szCs w:val="24"/>
          <w:lang w:val="sq-AL"/>
        </w:rPr>
        <w:t>ë</w:t>
      </w:r>
      <w:r w:rsidRPr="00520DB5">
        <w:rPr>
          <w:rFonts w:ascii="Garamond" w:hAnsi="Garamond" w:cs="Times New Roman"/>
          <w:color w:val="000000"/>
          <w:sz w:val="24"/>
          <w:szCs w:val="24"/>
          <w:lang w:val="sq-AL"/>
        </w:rPr>
        <w:t xml:space="preserve">se. </w:t>
      </w:r>
    </w:p>
    <w:p w14:paraId="0FBBE865" w14:textId="0C7B9122" w:rsidR="00553425" w:rsidRPr="00520DB5" w:rsidRDefault="00553425" w:rsidP="00F67B84">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520DB5">
        <w:rPr>
          <w:rFonts w:ascii="Garamond" w:hAnsi="Garamond" w:cs="Times New Roman"/>
          <w:b/>
          <w:bCs/>
          <w:color w:val="000000"/>
          <w:sz w:val="24"/>
          <w:szCs w:val="24"/>
          <w:lang w:val="sq-AL"/>
        </w:rPr>
        <w:t xml:space="preserve">B. Neni 13 i Konventës </w:t>
      </w:r>
    </w:p>
    <w:p w14:paraId="4354E2D4" w14:textId="3AF516EC"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29. Gjykata vëren në fillim se ishte e mundur që legjislacioni në fjalë të kundërshtohej me anë të një ankese kushtetuese, dhe se, në të vërtetë, Gjykata Kushtetuese parashikonte arsye të detajuara për vlerësimin e </w:t>
      </w:r>
      <w:proofErr w:type="spellStart"/>
      <w:r w:rsidRPr="00520DB5">
        <w:rPr>
          <w:rFonts w:ascii="Garamond" w:hAnsi="Garamond" w:cs="Times New Roman"/>
          <w:color w:val="000000"/>
          <w:sz w:val="24"/>
          <w:szCs w:val="24"/>
          <w:lang w:val="sq-AL"/>
        </w:rPr>
        <w:t>kushtetueshmërisë</w:t>
      </w:r>
      <w:proofErr w:type="spellEnd"/>
      <w:r w:rsidRPr="00520DB5">
        <w:rPr>
          <w:rFonts w:ascii="Garamond" w:hAnsi="Garamond" w:cs="Times New Roman"/>
          <w:color w:val="000000"/>
          <w:sz w:val="24"/>
          <w:szCs w:val="24"/>
          <w:lang w:val="sq-AL"/>
        </w:rPr>
        <w:t xml:space="preserve"> së legjislacionit të kundërshtuar. Në vijim, legjislacioni vend</w:t>
      </w:r>
      <w:r w:rsidR="00E01DA4">
        <w:rPr>
          <w:rFonts w:ascii="Garamond" w:hAnsi="Garamond" w:cs="Times New Roman"/>
          <w:color w:val="000000"/>
          <w:sz w:val="24"/>
          <w:szCs w:val="24"/>
          <w:lang w:val="sq-AL"/>
        </w:rPr>
        <w:t>ë</w:t>
      </w:r>
      <w:r w:rsidRPr="00520DB5">
        <w:rPr>
          <w:rFonts w:ascii="Garamond" w:hAnsi="Garamond" w:cs="Times New Roman"/>
          <w:color w:val="000000"/>
          <w:sz w:val="24"/>
          <w:szCs w:val="24"/>
          <w:lang w:val="sq-AL"/>
        </w:rPr>
        <w:t xml:space="preserve">s jep mundësinë për të kërkuar dëmshpërblim ndaj </w:t>
      </w:r>
      <w:r w:rsidR="00E01DA4" w:rsidRPr="00520DB5">
        <w:rPr>
          <w:rFonts w:ascii="Garamond" w:hAnsi="Garamond" w:cs="Times New Roman"/>
          <w:color w:val="000000"/>
          <w:sz w:val="24"/>
          <w:szCs w:val="24"/>
          <w:lang w:val="sq-AL"/>
        </w:rPr>
        <w:t xml:space="preserve">shtetit </w:t>
      </w:r>
      <w:r w:rsidRPr="00520DB5">
        <w:rPr>
          <w:rFonts w:ascii="Garamond" w:hAnsi="Garamond" w:cs="Times New Roman"/>
          <w:color w:val="000000"/>
          <w:sz w:val="24"/>
          <w:szCs w:val="24"/>
          <w:lang w:val="sq-AL"/>
        </w:rPr>
        <w:t xml:space="preserve">(shih paragrafin 11 më sipër). </w:t>
      </w:r>
    </w:p>
    <w:p w14:paraId="2A8EAA2C" w14:textId="14D7EC0F"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30. Në këtë mënyrë, kërkuesit kishin mundësinë të adresonin thelbin e ankesave të tyre</w:t>
      </w:r>
      <w:r w:rsidR="00A645BE">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në lidhje me efektet e legjislacionit të kundërshtuar për aktivitetin e biznesit të tyre përpara gjykatave vend</w:t>
      </w:r>
      <w:r w:rsidR="00A645BE">
        <w:rPr>
          <w:rFonts w:ascii="Garamond" w:hAnsi="Garamond" w:cs="Times New Roman"/>
          <w:color w:val="000000"/>
          <w:sz w:val="24"/>
          <w:szCs w:val="24"/>
          <w:lang w:val="sq-AL"/>
        </w:rPr>
        <w:t>ë</w:t>
      </w:r>
      <w:r w:rsidRPr="00520DB5">
        <w:rPr>
          <w:rFonts w:ascii="Garamond" w:hAnsi="Garamond" w:cs="Times New Roman"/>
          <w:color w:val="000000"/>
          <w:sz w:val="24"/>
          <w:szCs w:val="24"/>
          <w:lang w:val="sq-AL"/>
        </w:rPr>
        <w:t xml:space="preserve">se. </w:t>
      </w:r>
    </w:p>
    <w:p w14:paraId="3E231494" w14:textId="7E25917D"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31. Rrjedhimisht, ankesa në mbështetje të </w:t>
      </w:r>
      <w:r w:rsidR="00A645BE" w:rsidRPr="00520DB5">
        <w:rPr>
          <w:rFonts w:ascii="Garamond" w:hAnsi="Garamond" w:cs="Times New Roman"/>
          <w:color w:val="000000"/>
          <w:sz w:val="24"/>
          <w:szCs w:val="24"/>
          <w:lang w:val="sq-AL"/>
        </w:rPr>
        <w:t xml:space="preserve">nenit </w:t>
      </w:r>
      <w:r w:rsidRPr="00520DB5">
        <w:rPr>
          <w:rFonts w:ascii="Garamond" w:hAnsi="Garamond" w:cs="Times New Roman"/>
          <w:color w:val="000000"/>
          <w:sz w:val="24"/>
          <w:szCs w:val="24"/>
          <w:lang w:val="sq-AL"/>
        </w:rPr>
        <w:t xml:space="preserve">13 të Konventës është qartazi e pambështetur në fakte dhe duhet të kundërshtohet në përputhje me </w:t>
      </w:r>
      <w:r w:rsidR="00716787" w:rsidRPr="00520DB5">
        <w:rPr>
          <w:rFonts w:ascii="Garamond" w:hAnsi="Garamond" w:cs="Times New Roman"/>
          <w:color w:val="000000"/>
          <w:sz w:val="24"/>
          <w:szCs w:val="24"/>
          <w:lang w:val="sq-AL"/>
        </w:rPr>
        <w:t xml:space="preserve">nenin </w:t>
      </w:r>
      <w:r w:rsidRPr="00520DB5">
        <w:rPr>
          <w:rFonts w:ascii="Garamond" w:hAnsi="Garamond" w:cs="Times New Roman"/>
          <w:color w:val="000000"/>
          <w:sz w:val="24"/>
          <w:szCs w:val="24"/>
          <w:lang w:val="sq-AL"/>
        </w:rPr>
        <w:t xml:space="preserve">35 §§ 3 (a) dhe 4 të Konventës. </w:t>
      </w:r>
    </w:p>
    <w:p w14:paraId="45758823" w14:textId="676E02BB"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Për këto arsye, Gjykata, në mënyrë unanime</w:t>
      </w:r>
      <w:r w:rsidR="000D28EA">
        <w:rPr>
          <w:rFonts w:ascii="Garamond" w:hAnsi="Garamond" w:cs="Times New Roman"/>
          <w:color w:val="000000"/>
          <w:sz w:val="24"/>
          <w:szCs w:val="24"/>
          <w:lang w:val="sq-AL"/>
        </w:rPr>
        <w:t>:</w:t>
      </w:r>
      <w:r w:rsidRPr="00520DB5">
        <w:rPr>
          <w:rFonts w:ascii="Garamond" w:hAnsi="Garamond" w:cs="Times New Roman"/>
          <w:color w:val="000000"/>
          <w:sz w:val="24"/>
          <w:szCs w:val="24"/>
          <w:lang w:val="sq-AL"/>
        </w:rPr>
        <w:t xml:space="preserve"> </w:t>
      </w:r>
    </w:p>
    <w:p w14:paraId="64CCB216" w14:textId="707B7F8E"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i/>
          <w:iCs/>
          <w:color w:val="000000"/>
          <w:sz w:val="24"/>
          <w:szCs w:val="24"/>
          <w:lang w:val="sq-AL"/>
        </w:rPr>
        <w:t xml:space="preserve"> E shpall </w:t>
      </w:r>
      <w:r w:rsidRPr="00520DB5">
        <w:rPr>
          <w:rFonts w:ascii="Garamond" w:hAnsi="Garamond" w:cs="Times New Roman"/>
          <w:color w:val="000000"/>
          <w:sz w:val="24"/>
          <w:szCs w:val="24"/>
          <w:lang w:val="sq-AL"/>
        </w:rPr>
        <w:t xml:space="preserve">kërkesën të papranueshme. </w:t>
      </w:r>
    </w:p>
    <w:p w14:paraId="6B308771" w14:textId="798601F5"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20DB5">
        <w:rPr>
          <w:rFonts w:ascii="Garamond" w:hAnsi="Garamond" w:cs="Times New Roman"/>
          <w:color w:val="000000"/>
          <w:sz w:val="24"/>
          <w:szCs w:val="24"/>
          <w:lang w:val="sq-AL"/>
        </w:rPr>
        <w:t xml:space="preserve">Hartuar në gjuhën angleze dhe njoftuar me shkrim më datë 11 </w:t>
      </w:r>
      <w:r w:rsidR="000D28EA" w:rsidRPr="00520DB5">
        <w:rPr>
          <w:rFonts w:ascii="Garamond" w:hAnsi="Garamond" w:cs="Times New Roman"/>
          <w:color w:val="000000"/>
          <w:sz w:val="24"/>
          <w:szCs w:val="24"/>
          <w:lang w:val="sq-AL"/>
        </w:rPr>
        <w:t xml:space="preserve">prill </w:t>
      </w:r>
      <w:r w:rsidRPr="00520DB5">
        <w:rPr>
          <w:rFonts w:ascii="Garamond" w:hAnsi="Garamond" w:cs="Times New Roman"/>
          <w:color w:val="000000"/>
          <w:sz w:val="24"/>
          <w:szCs w:val="24"/>
          <w:lang w:val="sq-AL"/>
        </w:rPr>
        <w:t>2024.</w:t>
      </w:r>
    </w:p>
    <w:p w14:paraId="3FC8DDC8" w14:textId="7169F3FB" w:rsidR="00553425" w:rsidRPr="00520DB5" w:rsidRDefault="0055342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bookmarkStart w:id="0" w:name="_GoBack"/>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551"/>
      </w:tblGrid>
      <w:tr w:rsidR="004A0315" w:rsidRPr="00520DB5" w14:paraId="3E605336" w14:textId="77777777" w:rsidTr="00AA44F2">
        <w:trPr>
          <w:jc w:val="center"/>
        </w:trPr>
        <w:tc>
          <w:tcPr>
            <w:tcW w:w="2689" w:type="dxa"/>
          </w:tcPr>
          <w:p w14:paraId="587867E7" w14:textId="38DB1ED1" w:rsidR="004A0315" w:rsidRPr="00520DB5" w:rsidRDefault="004A0315" w:rsidP="00AA44F2">
            <w:pPr>
              <w:autoSpaceDE w:val="0"/>
              <w:autoSpaceDN w:val="0"/>
              <w:adjustRightInd w:val="0"/>
              <w:jc w:val="center"/>
              <w:rPr>
                <w:rFonts w:ascii="Garamond" w:hAnsi="Garamond" w:cs="Times New Roman"/>
                <w:color w:val="000000"/>
                <w:sz w:val="24"/>
                <w:szCs w:val="24"/>
                <w:lang w:val="sq-AL"/>
              </w:rPr>
            </w:pPr>
            <w:proofErr w:type="spellStart"/>
            <w:r w:rsidRPr="00520DB5">
              <w:rPr>
                <w:rFonts w:ascii="Garamond" w:hAnsi="Garamond" w:cs="Times New Roman"/>
                <w:b/>
                <w:color w:val="000000"/>
                <w:sz w:val="24"/>
                <w:szCs w:val="24"/>
                <w:lang w:val="sq-AL"/>
              </w:rPr>
              <w:t>Olga</w:t>
            </w:r>
            <w:proofErr w:type="spellEnd"/>
            <w:r w:rsidRPr="00520DB5">
              <w:rPr>
                <w:rFonts w:ascii="Garamond" w:hAnsi="Garamond" w:cs="Times New Roman"/>
                <w:b/>
                <w:color w:val="000000"/>
                <w:sz w:val="24"/>
                <w:szCs w:val="24"/>
                <w:lang w:val="sq-AL"/>
              </w:rPr>
              <w:t xml:space="preserve"> </w:t>
            </w:r>
            <w:proofErr w:type="spellStart"/>
            <w:r w:rsidRPr="00520DB5">
              <w:rPr>
                <w:rFonts w:ascii="Garamond" w:hAnsi="Garamond" w:cs="Times New Roman"/>
                <w:b/>
                <w:color w:val="000000"/>
                <w:sz w:val="24"/>
                <w:szCs w:val="24"/>
                <w:lang w:val="sq-AL"/>
              </w:rPr>
              <w:t>Chernishova</w:t>
            </w:r>
            <w:proofErr w:type="spellEnd"/>
            <w:r w:rsidRPr="00520DB5">
              <w:rPr>
                <w:rFonts w:ascii="Garamond" w:hAnsi="Garamond" w:cs="Times New Roman"/>
                <w:color w:val="000000"/>
                <w:sz w:val="24"/>
                <w:szCs w:val="24"/>
                <w:lang w:val="sq-AL"/>
              </w:rPr>
              <w:t xml:space="preserve"> </w:t>
            </w:r>
            <w:r w:rsidR="00AA44F2" w:rsidRPr="00520DB5">
              <w:rPr>
                <w:rFonts w:ascii="Garamond" w:hAnsi="Garamond" w:cs="Times New Roman"/>
                <w:color w:val="000000"/>
                <w:sz w:val="24"/>
                <w:szCs w:val="24"/>
                <w:lang w:val="sq-AL"/>
              </w:rPr>
              <w:t>ZËVENDËSSEKRETARE</w:t>
            </w:r>
          </w:p>
        </w:tc>
        <w:tc>
          <w:tcPr>
            <w:tcW w:w="2551" w:type="dxa"/>
          </w:tcPr>
          <w:p w14:paraId="1E36FBA3" w14:textId="543B58B3" w:rsidR="004A0315" w:rsidRPr="00520DB5" w:rsidRDefault="004A0315" w:rsidP="00AA44F2">
            <w:pPr>
              <w:autoSpaceDE w:val="0"/>
              <w:autoSpaceDN w:val="0"/>
              <w:adjustRightInd w:val="0"/>
              <w:jc w:val="center"/>
              <w:rPr>
                <w:rFonts w:ascii="Garamond" w:hAnsi="Garamond" w:cs="Times New Roman"/>
                <w:color w:val="000000"/>
                <w:sz w:val="24"/>
                <w:szCs w:val="24"/>
                <w:lang w:val="sq-AL"/>
              </w:rPr>
            </w:pPr>
            <w:proofErr w:type="spellStart"/>
            <w:r w:rsidRPr="00520DB5">
              <w:rPr>
                <w:rFonts w:ascii="Garamond" w:hAnsi="Garamond" w:cs="Times New Roman"/>
                <w:b/>
                <w:color w:val="000000"/>
                <w:sz w:val="24"/>
                <w:szCs w:val="24"/>
                <w:lang w:val="sq-AL"/>
              </w:rPr>
              <w:t>Georgios</w:t>
            </w:r>
            <w:proofErr w:type="spellEnd"/>
            <w:r w:rsidRPr="00520DB5">
              <w:rPr>
                <w:rFonts w:ascii="Garamond" w:hAnsi="Garamond" w:cs="Times New Roman"/>
                <w:b/>
                <w:color w:val="000000"/>
                <w:sz w:val="24"/>
                <w:szCs w:val="24"/>
                <w:lang w:val="sq-AL"/>
              </w:rPr>
              <w:t xml:space="preserve"> A. </w:t>
            </w:r>
            <w:proofErr w:type="spellStart"/>
            <w:r w:rsidRPr="00520DB5">
              <w:rPr>
                <w:rFonts w:ascii="Garamond" w:hAnsi="Garamond" w:cs="Times New Roman"/>
                <w:b/>
                <w:color w:val="000000"/>
                <w:sz w:val="24"/>
                <w:szCs w:val="24"/>
                <w:lang w:val="sq-AL"/>
              </w:rPr>
              <w:t>Serghides</w:t>
            </w:r>
            <w:proofErr w:type="spellEnd"/>
            <w:r w:rsidRPr="00520DB5">
              <w:rPr>
                <w:rFonts w:ascii="Garamond" w:hAnsi="Garamond" w:cs="Times New Roman"/>
                <w:color w:val="000000"/>
                <w:sz w:val="24"/>
                <w:szCs w:val="24"/>
                <w:lang w:val="sq-AL"/>
              </w:rPr>
              <w:t xml:space="preserve"> </w:t>
            </w:r>
            <w:r w:rsidR="00AA44F2" w:rsidRPr="00520DB5">
              <w:rPr>
                <w:rFonts w:ascii="Garamond" w:hAnsi="Garamond" w:cs="Times New Roman"/>
                <w:color w:val="000000"/>
                <w:sz w:val="24"/>
                <w:szCs w:val="24"/>
                <w:lang w:val="sq-AL"/>
              </w:rPr>
              <w:t>KRYETAR</w:t>
            </w:r>
          </w:p>
        </w:tc>
      </w:tr>
    </w:tbl>
    <w:p w14:paraId="08C1D63B" w14:textId="0F444B29" w:rsidR="004A0315" w:rsidRPr="00520DB5" w:rsidRDefault="004A0315" w:rsidP="00F67B84">
      <w:pPr>
        <w:autoSpaceDE w:val="0"/>
        <w:autoSpaceDN w:val="0"/>
        <w:adjustRightInd w:val="0"/>
        <w:spacing w:after="0" w:line="240" w:lineRule="auto"/>
        <w:ind w:firstLine="284"/>
        <w:jc w:val="both"/>
        <w:rPr>
          <w:rFonts w:ascii="Garamond" w:hAnsi="Garamond" w:cs="Times New Roman"/>
          <w:color w:val="000000"/>
          <w:sz w:val="24"/>
          <w:szCs w:val="24"/>
          <w:lang w:val="sq-AL"/>
        </w:rPr>
      </w:pPr>
    </w:p>
    <w:sectPr w:rsidR="004A0315" w:rsidRPr="00520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EA9"/>
    <w:rsid w:val="00031987"/>
    <w:rsid w:val="00040913"/>
    <w:rsid w:val="000563C1"/>
    <w:rsid w:val="00076632"/>
    <w:rsid w:val="000B5ED1"/>
    <w:rsid w:val="000D28EA"/>
    <w:rsid w:val="000E4432"/>
    <w:rsid w:val="000F74B6"/>
    <w:rsid w:val="00191F6E"/>
    <w:rsid w:val="001B06AF"/>
    <w:rsid w:val="001B4993"/>
    <w:rsid w:val="002045DD"/>
    <w:rsid w:val="00221B25"/>
    <w:rsid w:val="0022692D"/>
    <w:rsid w:val="00237E6B"/>
    <w:rsid w:val="003116C5"/>
    <w:rsid w:val="00376040"/>
    <w:rsid w:val="00420FCC"/>
    <w:rsid w:val="00440D0E"/>
    <w:rsid w:val="00444F40"/>
    <w:rsid w:val="00482735"/>
    <w:rsid w:val="00486E63"/>
    <w:rsid w:val="00495544"/>
    <w:rsid w:val="004A0315"/>
    <w:rsid w:val="004B6DAC"/>
    <w:rsid w:val="00500F58"/>
    <w:rsid w:val="00516EA9"/>
    <w:rsid w:val="00520DB5"/>
    <w:rsid w:val="0052648E"/>
    <w:rsid w:val="00553425"/>
    <w:rsid w:val="00563E43"/>
    <w:rsid w:val="005A0D86"/>
    <w:rsid w:val="005B5F43"/>
    <w:rsid w:val="006010F2"/>
    <w:rsid w:val="00624D50"/>
    <w:rsid w:val="00643943"/>
    <w:rsid w:val="006B13B4"/>
    <w:rsid w:val="006F0946"/>
    <w:rsid w:val="006F12A0"/>
    <w:rsid w:val="007102AD"/>
    <w:rsid w:val="00711650"/>
    <w:rsid w:val="00716787"/>
    <w:rsid w:val="007326EC"/>
    <w:rsid w:val="00790038"/>
    <w:rsid w:val="007A461B"/>
    <w:rsid w:val="007C2EDE"/>
    <w:rsid w:val="0080398C"/>
    <w:rsid w:val="00805461"/>
    <w:rsid w:val="00887F77"/>
    <w:rsid w:val="008C4F7B"/>
    <w:rsid w:val="008C7EE7"/>
    <w:rsid w:val="009001C6"/>
    <w:rsid w:val="00952BD8"/>
    <w:rsid w:val="009766C1"/>
    <w:rsid w:val="009945C3"/>
    <w:rsid w:val="009D2CAA"/>
    <w:rsid w:val="00A162E2"/>
    <w:rsid w:val="00A645BE"/>
    <w:rsid w:val="00A903BC"/>
    <w:rsid w:val="00AA0895"/>
    <w:rsid w:val="00AA44F2"/>
    <w:rsid w:val="00AD6F91"/>
    <w:rsid w:val="00B247E7"/>
    <w:rsid w:val="00C53FE5"/>
    <w:rsid w:val="00C729DA"/>
    <w:rsid w:val="00C87897"/>
    <w:rsid w:val="00CC2376"/>
    <w:rsid w:val="00CD0F78"/>
    <w:rsid w:val="00CE3073"/>
    <w:rsid w:val="00CF13A6"/>
    <w:rsid w:val="00D36E8E"/>
    <w:rsid w:val="00E01DA4"/>
    <w:rsid w:val="00E31C5A"/>
    <w:rsid w:val="00E96397"/>
    <w:rsid w:val="00EA435C"/>
    <w:rsid w:val="00F114D0"/>
    <w:rsid w:val="00F23FBB"/>
    <w:rsid w:val="00F5463E"/>
    <w:rsid w:val="00F67B84"/>
    <w:rsid w:val="00FA22C8"/>
    <w:rsid w:val="00FB338D"/>
    <w:rsid w:val="00FD2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A233"/>
  <w15:chartTrackingRefBased/>
  <w15:docId w15:val="{8F7B1634-5AC3-4D73-B230-60BB9C26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425"/>
    <w:pPr>
      <w:autoSpaceDE w:val="0"/>
      <w:autoSpaceDN w:val="0"/>
      <w:adjustRightInd w:val="0"/>
      <w:spacing w:after="0" w:line="240" w:lineRule="auto"/>
    </w:pPr>
    <w:rPr>
      <w:rFonts w:ascii="Calibri" w:hAnsi="Calibri" w:cs="Calibri"/>
      <w:color w:val="000000"/>
      <w:lang w:val="sq-AL"/>
    </w:rPr>
  </w:style>
  <w:style w:type="paragraph" w:customStyle="1" w:styleId="ECHRDecisionBody">
    <w:name w:val="ECHR_Decision_Body"/>
    <w:aliases w:val="Ju_Judges"/>
    <w:basedOn w:val="Normal"/>
    <w:uiPriority w:val="99"/>
    <w:rsid w:val="00553425"/>
    <w:pPr>
      <w:tabs>
        <w:tab w:val="left" w:pos="560"/>
        <w:tab w:val="left" w:pos="1120"/>
      </w:tabs>
      <w:autoSpaceDE w:val="0"/>
      <w:autoSpaceDN w:val="0"/>
      <w:adjustRightInd w:val="0"/>
      <w:spacing w:after="200" w:line="330" w:lineRule="atLeast"/>
    </w:pPr>
    <w:rPr>
      <w:rFonts w:ascii="Times New Roman" w:hAnsi="Times New Roman" w:cs="Times New Roman"/>
      <w:color w:val="000000"/>
      <w:sz w:val="24"/>
      <w:szCs w:val="24"/>
      <w:lang w:val="sq-AL"/>
    </w:rPr>
  </w:style>
  <w:style w:type="paragraph" w:customStyle="1" w:styleId="ECHRPara">
    <w:name w:val="ECHR_Para"/>
    <w:aliases w:val="Ju_Para"/>
    <w:basedOn w:val="Normal"/>
    <w:uiPriority w:val="99"/>
    <w:rsid w:val="00553425"/>
    <w:pPr>
      <w:autoSpaceDE w:val="0"/>
      <w:autoSpaceDN w:val="0"/>
      <w:adjustRightInd w:val="0"/>
      <w:spacing w:after="200" w:line="330" w:lineRule="atLeast"/>
      <w:ind w:firstLine="280"/>
      <w:jc w:val="both"/>
    </w:pPr>
    <w:rPr>
      <w:rFonts w:ascii="Times New Roman" w:hAnsi="Times New Roman" w:cs="Times New Roman"/>
      <w:color w:val="000000"/>
      <w:sz w:val="24"/>
      <w:szCs w:val="24"/>
      <w:lang w:val="sq-AL"/>
    </w:rPr>
  </w:style>
  <w:style w:type="table" w:styleId="TableGrid">
    <w:name w:val="Table Grid"/>
    <w:basedOn w:val="TableNormal"/>
    <w:uiPriority w:val="39"/>
    <w:rsid w:val="004A0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47108-08</Nr_x002e__x0020_akti>
    <Data_x0020_e_x0020_Krijimit xmlns="0e656187-b300-4fb0-8bf4-3a50f872073c">2024-05-02T13:38:58Z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2024-05-02T00:00:00Z</Date_x0020_protokolli>
    <Titulli xmlns="0e656187-b300-4fb0-8bf4-3a50f872073c">Çështja Alba Games dhe Eduard Biti kundër Shqipërisë</Titulli>
    <Modifikuesi xmlns="0e656187-b300-4fb0-8bf4-3a50f872073c">alma.lisaku</Modifikuesi>
    <Nr_x002e__x0020_prot_x0020_QBZ xmlns="0e656187-b300-4fb0-8bf4-3a50f872073c">778/1</Nr_x002e__x0020_prot_x0020_QBZ>
    <Data_x0020_e_x0020_Modifikimit xmlns="0e656187-b300-4fb0-8bf4-3a50f872073c">2024-05-03T08:54:50Z</Data_x0020_e_x0020_Modifikimit>
    <Dekretuar xmlns="0e656187-b300-4fb0-8bf4-3a50f872073c">false</Dekretuar>
    <Data xmlns="0e656187-b300-4fb0-8bf4-3a50f872073c">2024-04-11T00:00:00Z</Data>
    <Nr_x002e__x0020_protokolli_x0020_i_x0020_aktit xmlns="0e656187-b300-4fb0-8bf4-3a50f872073c">2184/1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kt ligjor" ma:contentTypeID="0x01010082F95F809E6B4603905B0CE8D92DD7F3"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kt ligjor" ma:contentTypeID="0x01010082F95F809E6B4603905B0CE8D92DD7F3"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Akt ligjor" ma:contentTypeID="0x01010082F95F809E6B4603905B0CE8D92DD7F3"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57236A6-965E-4A4C-8635-F2C626693B3F}">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4028D08F-8C67-48ED-92C0-1FEC38675A9C}">
  <ds:schemaRefs>
    <ds:schemaRef ds:uri="http://schemas.microsoft.com/sharepoint/v3/contenttype/forms"/>
  </ds:schemaRefs>
</ds:datastoreItem>
</file>

<file path=customXml/itemProps3.xml><?xml version="1.0" encoding="utf-8"?>
<ds:datastoreItem xmlns:ds="http://schemas.openxmlformats.org/officeDocument/2006/customXml" ds:itemID="{64F2B1CB-3087-4373-B9D5-A90F0D588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216C672-C25E-43A0-AE03-5730434F94D2}">
  <ds:schemaRefs>
    <ds:schemaRef ds:uri="http://schemas.microsoft.com/sharepoint/v3/contenttype/forms"/>
  </ds:schemaRefs>
</ds:datastoreItem>
</file>

<file path=customXml/itemProps5.xml><?xml version="1.0" encoding="utf-8"?>
<ds:datastoreItem xmlns:ds="http://schemas.openxmlformats.org/officeDocument/2006/customXml" ds:itemID="{785BD5D6-78E9-46C2-9384-7C8A20948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F1A15126-A6EA-4DF9-9D95-4F84D5F7EFD2}">
  <ds:schemaRefs>
    <ds:schemaRef ds:uri="http://schemas.microsoft.com/sharepoint/v3/contenttype/forms"/>
  </ds:schemaRefs>
</ds:datastoreItem>
</file>

<file path=customXml/itemProps7.xml><?xml version="1.0" encoding="utf-8"?>
<ds:datastoreItem xmlns:ds="http://schemas.openxmlformats.org/officeDocument/2006/customXml" ds:itemID="{791649F1-9257-4E8E-B124-2BE1B8873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2340</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Çështja Alba Games dhe Eduard Biti kundër Shqipërisë</vt:lpstr>
    </vt:vector>
  </TitlesOfParts>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Alba Games dhe Eduard Biti kundër Shqipërisë</dc:title>
  <dc:creator>Entela Suli</dc:creator>
  <cp:lastModifiedBy>Alma Lisaku</cp:lastModifiedBy>
  <cp:revision>61</cp:revision>
  <dcterms:created xsi:type="dcterms:W3CDTF">2024-05-02T12:37:00Z</dcterms:created>
  <dcterms:modified xsi:type="dcterms:W3CDTF">2024-05-03T07:59:00Z</dcterms:modified>
</cp:coreProperties>
</file>