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027D" w14:textId="2ED2646A" w:rsidR="00032ECB" w:rsidRPr="00267378" w:rsidRDefault="00032ECB" w:rsidP="00267378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24"/>
          <w:szCs w:val="24"/>
          <w:lang w:val="sq-AL"/>
        </w:rPr>
      </w:pPr>
      <w:r w:rsidRPr="00267378">
        <w:rPr>
          <w:rFonts w:ascii="Garamond" w:hAnsi="Garamond" w:cs="Times New Roman"/>
          <w:color w:val="000000"/>
          <w:sz w:val="24"/>
          <w:szCs w:val="24"/>
          <w:lang w:val="sq-AL"/>
        </w:rPr>
        <w:t>GJYKATA</w:t>
      </w:r>
      <w:r w:rsidR="0026737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267378">
        <w:rPr>
          <w:rFonts w:ascii="Garamond" w:hAnsi="Garamond" w:cs="Times New Roman"/>
          <w:color w:val="000000"/>
          <w:sz w:val="24"/>
          <w:szCs w:val="24"/>
          <w:lang w:val="sq-AL"/>
        </w:rPr>
        <w:t>EVROPIANE</w:t>
      </w:r>
      <w:r w:rsidR="0026737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267378">
        <w:rPr>
          <w:rFonts w:ascii="Garamond" w:hAnsi="Garamond" w:cs="Times New Roman"/>
          <w:color w:val="000000"/>
          <w:sz w:val="24"/>
          <w:szCs w:val="24"/>
          <w:lang w:val="sq-AL"/>
        </w:rPr>
        <w:t>PËR</w:t>
      </w:r>
      <w:r w:rsidR="0026737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267378">
        <w:rPr>
          <w:rFonts w:ascii="Garamond" w:hAnsi="Garamond" w:cs="Times New Roman"/>
          <w:color w:val="000000"/>
          <w:sz w:val="24"/>
          <w:szCs w:val="24"/>
          <w:lang w:val="sq-AL"/>
        </w:rPr>
        <w:t>TË</w:t>
      </w:r>
      <w:r w:rsidR="0026737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267378">
        <w:rPr>
          <w:rFonts w:ascii="Garamond" w:hAnsi="Garamond" w:cs="Times New Roman"/>
          <w:color w:val="000000"/>
          <w:sz w:val="24"/>
          <w:szCs w:val="24"/>
          <w:lang w:val="sq-AL"/>
        </w:rPr>
        <w:t>DREJTAT</w:t>
      </w:r>
      <w:r w:rsidR="0026737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267378">
        <w:rPr>
          <w:rFonts w:ascii="Garamond" w:hAnsi="Garamond" w:cs="Times New Roman"/>
          <w:color w:val="000000"/>
          <w:sz w:val="24"/>
          <w:szCs w:val="24"/>
          <w:lang w:val="sq-AL"/>
        </w:rPr>
        <w:t>E</w:t>
      </w:r>
      <w:r w:rsidR="00267378">
        <w:rPr>
          <w:rFonts w:ascii="Garamond" w:hAnsi="Garamond" w:cs="Times New Roman"/>
          <w:color w:val="000000"/>
          <w:sz w:val="24"/>
          <w:szCs w:val="24"/>
          <w:lang w:val="sq-AL"/>
        </w:rPr>
        <w:t xml:space="preserve"> </w:t>
      </w:r>
      <w:r w:rsidRPr="00267378">
        <w:rPr>
          <w:rFonts w:ascii="Garamond" w:hAnsi="Garamond" w:cs="Times New Roman"/>
          <w:color w:val="000000"/>
          <w:sz w:val="24"/>
          <w:szCs w:val="24"/>
          <w:lang w:val="sq-AL"/>
        </w:rPr>
        <w:t>NJERIUT</w:t>
      </w:r>
    </w:p>
    <w:p w14:paraId="2F913480" w14:textId="7DF9EBFD" w:rsidR="00032ECB" w:rsidRPr="00267378" w:rsidRDefault="00032ECB" w:rsidP="00267378">
      <w:pPr>
        <w:tabs>
          <w:tab w:val="left" w:pos="5529"/>
        </w:tabs>
        <w:spacing w:after="0" w:line="240" w:lineRule="auto"/>
        <w:jc w:val="center"/>
        <w:rPr>
          <w:rFonts w:ascii="Garamond" w:hAnsi="Garamond"/>
          <w:sz w:val="24"/>
          <w:szCs w:val="24"/>
          <w:lang w:val="sq-AL"/>
        </w:rPr>
      </w:pPr>
      <w:r w:rsidRPr="00267378">
        <w:rPr>
          <w:rFonts w:ascii="Garamond" w:hAnsi="Garamond"/>
          <w:sz w:val="24"/>
          <w:szCs w:val="24"/>
          <w:lang w:val="sq-AL"/>
        </w:rPr>
        <w:t>SEKSIONI</w:t>
      </w:r>
      <w:r w:rsidR="00267378">
        <w:rPr>
          <w:rFonts w:ascii="Garamond" w:hAnsi="Garamond"/>
          <w:sz w:val="24"/>
          <w:szCs w:val="24"/>
          <w:lang w:val="sq-AL"/>
        </w:rPr>
        <w:t xml:space="preserve"> </w:t>
      </w:r>
      <w:r w:rsidRPr="00267378">
        <w:rPr>
          <w:rFonts w:ascii="Garamond" w:hAnsi="Garamond"/>
          <w:sz w:val="24"/>
          <w:szCs w:val="24"/>
          <w:lang w:val="sq-AL"/>
        </w:rPr>
        <w:t>I</w:t>
      </w:r>
      <w:r w:rsidR="00267378">
        <w:rPr>
          <w:rFonts w:ascii="Garamond" w:hAnsi="Garamond"/>
          <w:sz w:val="24"/>
          <w:szCs w:val="24"/>
          <w:lang w:val="sq-AL"/>
        </w:rPr>
        <w:t xml:space="preserve"> </w:t>
      </w:r>
      <w:r w:rsidRPr="00267378">
        <w:rPr>
          <w:rFonts w:ascii="Garamond" w:hAnsi="Garamond"/>
          <w:sz w:val="24"/>
          <w:szCs w:val="24"/>
          <w:lang w:val="sq-AL"/>
        </w:rPr>
        <w:t>TRETË</w:t>
      </w:r>
    </w:p>
    <w:p w14:paraId="380CA315" w14:textId="3A00BEF6" w:rsidR="002C07A9" w:rsidRPr="00267378" w:rsidRDefault="002C07A9" w:rsidP="0033657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4EF5C1" w14:textId="77777777" w:rsidR="00267378" w:rsidRPr="00267378" w:rsidRDefault="00267378" w:rsidP="00336573">
      <w:pPr>
        <w:pStyle w:val="DecHTitle"/>
        <w:spacing w:after="0"/>
        <w:rPr>
          <w:rFonts w:ascii="Garamond" w:hAnsi="Garamond"/>
          <w:b/>
          <w:sz w:val="24"/>
        </w:rPr>
      </w:pPr>
      <w:r w:rsidRPr="00267378">
        <w:rPr>
          <w:rFonts w:ascii="Garamond" w:hAnsi="Garamond"/>
          <w:b/>
          <w:sz w:val="24"/>
        </w:rPr>
        <w:t>VENDIM</w:t>
      </w:r>
    </w:p>
    <w:p w14:paraId="0C16DA78" w14:textId="3FC5BB2F" w:rsidR="00267378" w:rsidRPr="00EA3D11" w:rsidRDefault="00267378" w:rsidP="00336573">
      <w:pPr>
        <w:pStyle w:val="DecHCase"/>
        <w:spacing w:after="0"/>
        <w:rPr>
          <w:rFonts w:ascii="Garamond" w:hAnsi="Garamond"/>
          <w:i/>
        </w:rPr>
      </w:pPr>
      <w:r w:rsidRPr="00EA3D11">
        <w:rPr>
          <w:rFonts w:ascii="Garamond" w:hAnsi="Garamond"/>
          <w:i/>
        </w:rPr>
        <w:t xml:space="preserve">Kërkesa nr. 75984/11 </w:t>
      </w:r>
    </w:p>
    <w:p w14:paraId="719CF6B9" w14:textId="77777777" w:rsidR="00267378" w:rsidRPr="00267378" w:rsidRDefault="00267378" w:rsidP="00336573">
      <w:pPr>
        <w:pStyle w:val="JuPara"/>
      </w:pPr>
    </w:p>
    <w:p w14:paraId="0EEE219B" w14:textId="740E8D41" w:rsidR="00267378" w:rsidRDefault="00267378" w:rsidP="00336573">
      <w:pPr>
        <w:pStyle w:val="DecHCase"/>
        <w:spacing w:after="0"/>
        <w:rPr>
          <w:rFonts w:ascii="Garamond" w:hAnsi="Garamond"/>
        </w:rPr>
      </w:pPr>
      <w:r w:rsidRPr="00267378">
        <w:rPr>
          <w:rFonts w:ascii="Garamond" w:hAnsi="Garamond"/>
        </w:rPr>
        <w:t>Gëzim</w:t>
      </w:r>
      <w:r>
        <w:rPr>
          <w:rFonts w:ascii="Garamond" w:hAnsi="Garamond"/>
        </w:rPr>
        <w:t xml:space="preserve"> </w:t>
      </w:r>
      <w:r w:rsidRPr="00267378">
        <w:rPr>
          <w:rFonts w:ascii="Garamond" w:hAnsi="Garamond"/>
        </w:rPr>
        <w:t>BOÇARI</w:t>
      </w:r>
      <w:r>
        <w:rPr>
          <w:rFonts w:ascii="Garamond" w:hAnsi="Garamond"/>
        </w:rPr>
        <w:t xml:space="preserve"> </w:t>
      </w:r>
    </w:p>
    <w:p w14:paraId="3136CCCC" w14:textId="5E9314AE" w:rsidR="00267378" w:rsidRPr="00267378" w:rsidRDefault="00267378" w:rsidP="00336573">
      <w:pPr>
        <w:pStyle w:val="DecHCase"/>
        <w:spacing w:after="0"/>
        <w:rPr>
          <w:rFonts w:ascii="Garamond" w:hAnsi="Garamond"/>
          <w:i/>
        </w:rPr>
      </w:pPr>
      <w:r w:rsidRPr="00267378">
        <w:rPr>
          <w:rFonts w:ascii="Garamond" w:hAnsi="Garamond"/>
        </w:rPr>
        <w:t>kundër</w:t>
      </w:r>
      <w:r>
        <w:rPr>
          <w:rFonts w:ascii="Garamond" w:hAnsi="Garamond"/>
        </w:rPr>
        <w:t xml:space="preserve"> </w:t>
      </w:r>
      <w:r w:rsidRPr="00267378">
        <w:rPr>
          <w:rFonts w:ascii="Garamond" w:hAnsi="Garamond"/>
        </w:rPr>
        <w:t>Shqipërisë</w:t>
      </w:r>
    </w:p>
    <w:p w14:paraId="49AAB783" w14:textId="77777777" w:rsidR="00267378" w:rsidRDefault="00267378" w:rsidP="00336573">
      <w:pPr>
        <w:spacing w:after="0" w:line="240" w:lineRule="auto"/>
      </w:pPr>
    </w:p>
    <w:p w14:paraId="62F59B29" w14:textId="35A61426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 w:rsidR="00E63AB8">
        <w:rPr>
          <w:rFonts w:ascii="Garamond" w:hAnsi="Garamond"/>
        </w:rPr>
        <w:t>v</w:t>
      </w:r>
      <w:r w:rsidRPr="00CC7956">
        <w:rPr>
          <w:rFonts w:ascii="Garamond" w:hAnsi="Garamond"/>
        </w:rPr>
        <w:t>ropiane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Drejtave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Njeriut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(Seksioni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Tretë),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mbledhur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2024</w:t>
      </w:r>
      <w:r w:rsidR="00E63AB8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Komitet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përbërë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nga:</w:t>
      </w:r>
    </w:p>
    <w:p w14:paraId="4B7693B6" w14:textId="64FE97C8" w:rsidR="00267378" w:rsidRDefault="00267378" w:rsidP="00267378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 w:rsidRPr="00CC7956">
        <w:rPr>
          <w:rFonts w:ascii="Garamond" w:hAnsi="Garamond"/>
        </w:rPr>
        <w:t>Georgios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Serghides</w:t>
      </w:r>
      <w:r w:rsidRPr="00CC7956">
        <w:rPr>
          <w:rFonts w:ascii="Garamond" w:hAnsi="Garamond"/>
          <w:i/>
        </w:rPr>
        <w:t>,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President</w:t>
      </w:r>
      <w:r w:rsidRPr="00CC7956">
        <w:rPr>
          <w:rFonts w:ascii="Garamond" w:hAnsi="Garamond"/>
        </w:rPr>
        <w:t>,</w:t>
      </w:r>
    </w:p>
    <w:p w14:paraId="0D220B08" w14:textId="35BF0142" w:rsidR="00267378" w:rsidRDefault="00267378" w:rsidP="00267378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Darian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Pavli,</w:t>
      </w:r>
    </w:p>
    <w:p w14:paraId="32CAFD80" w14:textId="2631FB96" w:rsidR="00267378" w:rsidRDefault="00267378" w:rsidP="00267378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Oddný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Mjöll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Arnardóttir</w:t>
      </w:r>
      <w:r w:rsidRPr="00CC7956">
        <w:rPr>
          <w:rFonts w:ascii="Garamond" w:hAnsi="Garamond"/>
          <w:i/>
        </w:rPr>
        <w:t>,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gjyqtarë</w:t>
      </w:r>
      <w:r w:rsidRPr="00CC7956">
        <w:rPr>
          <w:rFonts w:ascii="Garamond" w:hAnsi="Garamond"/>
        </w:rPr>
        <w:t>,</w:t>
      </w:r>
    </w:p>
    <w:p w14:paraId="034E6D6F" w14:textId="1F2C55AD" w:rsidR="00267378" w:rsidRPr="00CC7956" w:rsidRDefault="00267378" w:rsidP="00267378">
      <w:pPr>
        <w:pStyle w:val="JuJudges"/>
        <w:tabs>
          <w:tab w:val="clear" w:pos="567"/>
          <w:tab w:val="left" w:pos="284"/>
        </w:tabs>
        <w:ind w:firstLine="284"/>
        <w:rPr>
          <w:rFonts w:ascii="Garamond" w:hAnsi="Garamond"/>
          <w:iCs/>
        </w:rPr>
      </w:pP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Olga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Chernishova,</w:t>
      </w:r>
      <w:r>
        <w:rPr>
          <w:rFonts w:ascii="Garamond" w:hAnsi="Garamond"/>
        </w:rPr>
        <w:t xml:space="preserve"> </w:t>
      </w:r>
      <w:r w:rsidR="00C472E1" w:rsidRPr="00CC7956">
        <w:rPr>
          <w:rFonts w:ascii="Garamond" w:hAnsi="Garamond"/>
          <w:i/>
        </w:rPr>
        <w:t>zëvendës</w:t>
      </w:r>
      <w:r w:rsidR="00C472E1" w:rsidRPr="00CC7956">
        <w:rPr>
          <w:rFonts w:ascii="Garamond" w:hAnsi="Garamond"/>
          <w:i/>
          <w:iCs/>
        </w:rPr>
        <w:t>kancelare</w:t>
      </w:r>
      <w:r w:rsidR="00C472E1"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e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Seksionit</w:t>
      </w:r>
      <w:r w:rsidRPr="00CC7956">
        <w:rPr>
          <w:rFonts w:ascii="Garamond" w:hAnsi="Garamond"/>
          <w:i/>
        </w:rPr>
        <w:t>,</w:t>
      </w:r>
    </w:p>
    <w:p w14:paraId="72C8E043" w14:textId="20675146" w:rsidR="00267378" w:rsidRPr="00CC7956" w:rsidRDefault="00305BC7" w:rsidP="00267378">
      <w:pPr>
        <w:pStyle w:val="JuPara"/>
        <w:rPr>
          <w:rFonts w:ascii="Garamond" w:hAnsi="Garamond"/>
        </w:rPr>
      </w:pPr>
      <w:r>
        <w:rPr>
          <w:rFonts w:ascii="Garamond" w:hAnsi="Garamond"/>
        </w:rPr>
        <w:t>d</w:t>
      </w:r>
      <w:r w:rsidR="00267378" w:rsidRPr="00CC7956">
        <w:rPr>
          <w:rFonts w:ascii="Garamond" w:hAnsi="Garamond"/>
        </w:rPr>
        <w:t>uke</w:t>
      </w:r>
      <w:r w:rsidR="00267378">
        <w:rPr>
          <w:rFonts w:ascii="Garamond" w:hAnsi="Garamond"/>
        </w:rPr>
        <w:t xml:space="preserve"> </w:t>
      </w:r>
      <w:r w:rsidR="00267378" w:rsidRPr="00CC7956">
        <w:rPr>
          <w:rFonts w:ascii="Garamond" w:hAnsi="Garamond"/>
        </w:rPr>
        <w:t>pasur</w:t>
      </w:r>
      <w:r w:rsidR="00267378">
        <w:rPr>
          <w:rFonts w:ascii="Garamond" w:hAnsi="Garamond"/>
        </w:rPr>
        <w:t xml:space="preserve"> </w:t>
      </w:r>
      <w:r w:rsidR="00267378" w:rsidRPr="00CC7956">
        <w:rPr>
          <w:rFonts w:ascii="Garamond" w:hAnsi="Garamond"/>
        </w:rPr>
        <w:t>parasysh:</w:t>
      </w:r>
    </w:p>
    <w:p w14:paraId="1F50593D" w14:textId="5E43AD15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t>kërkesën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(nr.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75984/11)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kundër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Republikës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Shqipërisë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depozituar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sipas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nenit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34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Konventës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Mbrojtjen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Drejtave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Lirive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Themelore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Njeriut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</w:t>
      </w:r>
      <w:r w:rsidR="00C472E1">
        <w:rPr>
          <w:rFonts w:ascii="Garamond" w:hAnsi="Garamond"/>
        </w:rPr>
        <w:t>“</w:t>
      </w:r>
      <w:r w:rsidRPr="00CC7956">
        <w:rPr>
          <w:rFonts w:ascii="Garamond" w:hAnsi="Garamond"/>
        </w:rPr>
        <w:t>Konventa</w:t>
      </w:r>
      <w:r w:rsidR="00C472E1">
        <w:rPr>
          <w:rFonts w:ascii="Garamond" w:hAnsi="Garamond"/>
        </w:rPr>
        <w:t>”</w:t>
      </w:r>
      <w:r w:rsidRPr="00CC7956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shtator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2011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shtetasi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shqiptar</w:t>
      </w:r>
      <w:r>
        <w:rPr>
          <w:rFonts w:ascii="Garamond" w:hAnsi="Garamond"/>
        </w:rPr>
        <w:t xml:space="preserve"> </w:t>
      </w:r>
      <w:r w:rsidR="00305BC7">
        <w:rPr>
          <w:rFonts w:ascii="Garamond" w:hAnsi="Garamond"/>
        </w:rPr>
        <w:t>z</w:t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Gëzim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Boçari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</w:t>
      </w:r>
      <w:r w:rsidR="00C472E1">
        <w:rPr>
          <w:rFonts w:ascii="Garamond" w:hAnsi="Garamond"/>
        </w:rPr>
        <w:t>“</w:t>
      </w:r>
      <w:r w:rsidRPr="00CC7956">
        <w:rPr>
          <w:rFonts w:ascii="Garamond" w:hAnsi="Garamond"/>
        </w:rPr>
        <w:t>kërkuesi</w:t>
      </w:r>
      <w:r w:rsidR="00C472E1">
        <w:rPr>
          <w:rFonts w:ascii="Garamond" w:hAnsi="Garamond"/>
        </w:rPr>
        <w:t>”</w:t>
      </w:r>
      <w:r w:rsidRPr="00CC7956"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lindur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vitin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1949,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banim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Tiranë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përfaqësuar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="00C472E1">
        <w:rPr>
          <w:rFonts w:ascii="Garamond" w:hAnsi="Garamond"/>
        </w:rPr>
        <w:t>z</w:t>
      </w:r>
      <w:r w:rsidRPr="00CC7956">
        <w:rPr>
          <w:rFonts w:ascii="Garamond" w:hAnsi="Garamond"/>
        </w:rPr>
        <w:t>nj.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B.</w:t>
      </w:r>
      <w:r w:rsidR="00305BC7"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Boçari,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avokate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licencuar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Tiranë;</w:t>
      </w:r>
    </w:p>
    <w:p w14:paraId="687C3D1E" w14:textId="5E7C3680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njoftuar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kërkesën</w:t>
      </w:r>
      <w:r>
        <w:rPr>
          <w:rFonts w:ascii="Garamond" w:hAnsi="Garamond"/>
          <w:color w:val="FFFFFF" w:themeColor="background1"/>
        </w:rPr>
        <w:t xml:space="preserve"> </w:t>
      </w:r>
      <w:r w:rsidRPr="00CC7956">
        <w:rPr>
          <w:rFonts w:ascii="Garamond" w:hAnsi="Garamond"/>
        </w:rPr>
        <w:t>Qeverinë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Shqipërisë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</w:t>
      </w:r>
      <w:r w:rsidR="00C472E1">
        <w:rPr>
          <w:rFonts w:ascii="Garamond" w:hAnsi="Garamond"/>
        </w:rPr>
        <w:t>“</w:t>
      </w:r>
      <w:r w:rsidRPr="00CC7956">
        <w:rPr>
          <w:rFonts w:ascii="Garamond" w:hAnsi="Garamond"/>
        </w:rPr>
        <w:t>Qeveria</w:t>
      </w:r>
      <w:r w:rsidR="00C472E1">
        <w:rPr>
          <w:rFonts w:ascii="Garamond" w:hAnsi="Garamond"/>
        </w:rPr>
        <w:t>”</w:t>
      </w:r>
      <w:r w:rsidRPr="00CC7956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përfaqësuar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Agjentja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znj.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Mandia,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="00305BC7" w:rsidRPr="00CC7956">
        <w:rPr>
          <w:rFonts w:ascii="Garamond" w:hAnsi="Garamond"/>
        </w:rPr>
        <w:t>agjenti</w:t>
      </w:r>
      <w:r w:rsidR="00305BC7">
        <w:rPr>
          <w:rFonts w:ascii="Garamond" w:hAnsi="Garamond"/>
        </w:rPr>
        <w:t xml:space="preserve"> </w:t>
      </w:r>
      <w:r w:rsidR="00305BC7" w:rsidRPr="00CC7956">
        <w:rPr>
          <w:rFonts w:ascii="Garamond" w:hAnsi="Garamond"/>
        </w:rPr>
        <w:t>z.</w:t>
      </w:r>
      <w:r w:rsidR="00305BC7"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O.Moçka,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Avokat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Përgjithshëm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Shtetit;</w:t>
      </w:r>
    </w:p>
    <w:p w14:paraId="01419E70" w14:textId="7447BDAF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t>parashtrimet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palëve;</w:t>
      </w:r>
    </w:p>
    <w:p w14:paraId="4D67EFCD" w14:textId="1AD1EED8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t>Pas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diskutimit,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vendosi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poshtë:</w:t>
      </w:r>
    </w:p>
    <w:p w14:paraId="27675F65" w14:textId="6E44C6FA" w:rsidR="00267378" w:rsidRPr="00CC7956" w:rsidRDefault="00267378" w:rsidP="00267378">
      <w:pPr>
        <w:pStyle w:val="JuHHead"/>
        <w:numPr>
          <w:ilvl w:val="0"/>
          <w:numId w:val="0"/>
        </w:numPr>
        <w:spacing w:before="0" w:beforeAutospacing="0" w:after="0"/>
        <w:ind w:firstLine="284"/>
        <w:rPr>
          <w:rFonts w:ascii="Garamond" w:hAnsi="Garamond"/>
          <w:sz w:val="24"/>
          <w:szCs w:val="24"/>
        </w:rPr>
      </w:pPr>
      <w:r w:rsidRPr="00CC7956">
        <w:rPr>
          <w:rFonts w:ascii="Garamond" w:hAnsi="Garamond"/>
          <w:sz w:val="24"/>
          <w:szCs w:val="24"/>
        </w:rPr>
        <w:t>OBJEKTI</w:t>
      </w:r>
      <w:r>
        <w:rPr>
          <w:rFonts w:ascii="Garamond" w:hAnsi="Garamond"/>
          <w:sz w:val="24"/>
          <w:szCs w:val="24"/>
        </w:rPr>
        <w:t xml:space="preserve"> </w:t>
      </w:r>
      <w:r w:rsidRPr="00CC7956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Pr="00CC7956">
        <w:rPr>
          <w:rFonts w:ascii="Garamond" w:hAnsi="Garamond"/>
          <w:sz w:val="24"/>
          <w:szCs w:val="24"/>
        </w:rPr>
        <w:t>ÇËSHTJES</w:t>
      </w:r>
    </w:p>
    <w:p w14:paraId="43C3756A" w14:textId="125144C6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fldChar w:fldCharType="begin"/>
      </w:r>
      <w:r w:rsidRPr="00CC7956">
        <w:rPr>
          <w:rFonts w:ascii="Garamond" w:hAnsi="Garamond"/>
        </w:rPr>
        <w:instrText xml:space="preserve"> SEQ level0 \*arabic \* MERGEFORMAT </w:instrText>
      </w:r>
      <w:r w:rsidRPr="00CC7956">
        <w:rPr>
          <w:rFonts w:ascii="Garamond" w:hAnsi="Garamond"/>
        </w:rPr>
        <w:fldChar w:fldCharType="separate"/>
      </w:r>
      <w:r w:rsidRPr="00CC7956">
        <w:rPr>
          <w:rFonts w:ascii="Garamond" w:hAnsi="Garamond"/>
          <w:noProof/>
        </w:rPr>
        <w:t>1</w:t>
      </w:r>
      <w:r w:rsidRPr="00CC7956">
        <w:rPr>
          <w:rFonts w:ascii="Garamond" w:hAnsi="Garamond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Kërkesa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bëjë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kohëzgjatjen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proceseve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gjyqësore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ekzekutimin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brendshme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</w:rPr>
        <w:t>Gjonbocari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dhe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të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tjerët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kundër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Shqipërisë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(nr.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10508/02,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23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tetor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2007).</w:t>
      </w:r>
    </w:p>
    <w:p w14:paraId="3C7C478A" w14:textId="192BDE03" w:rsidR="00267378" w:rsidRPr="00CC7956" w:rsidRDefault="00267378" w:rsidP="00267378">
      <w:pPr>
        <w:pStyle w:val="JuHA"/>
        <w:numPr>
          <w:ilvl w:val="0"/>
          <w:numId w:val="0"/>
        </w:numPr>
        <w:spacing w:before="0" w:beforeAutospacing="0" w:after="0"/>
        <w:ind w:firstLine="284"/>
        <w:rPr>
          <w:rFonts w:ascii="Garamond" w:hAnsi="Garamond"/>
          <w:szCs w:val="24"/>
        </w:rPr>
      </w:pPr>
      <w:r w:rsidRPr="00CC7956">
        <w:rPr>
          <w:rFonts w:ascii="Garamond" w:hAnsi="Garamond"/>
          <w:szCs w:val="24"/>
        </w:rPr>
        <w:t>Vendimet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në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lidhje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me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pronësinë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e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pronës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objekt</w:t>
      </w:r>
      <w:r>
        <w:rPr>
          <w:rFonts w:ascii="Garamond" w:hAnsi="Garamond"/>
          <w:szCs w:val="24"/>
        </w:rPr>
        <w:t xml:space="preserve"> </w:t>
      </w:r>
      <w:r w:rsidRPr="00CC7956">
        <w:rPr>
          <w:rFonts w:ascii="Garamond" w:hAnsi="Garamond"/>
          <w:szCs w:val="24"/>
        </w:rPr>
        <w:t>kundërshtimi</w:t>
      </w:r>
    </w:p>
    <w:p w14:paraId="06D13F6B" w14:textId="15925B74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fldChar w:fldCharType="begin"/>
      </w:r>
      <w:r w:rsidRPr="00CC7956">
        <w:rPr>
          <w:rFonts w:ascii="Garamond" w:hAnsi="Garamond"/>
        </w:rPr>
        <w:instrText xml:space="preserve"> SEQ level0 \*arabic \* MERGEFORMAT </w:instrText>
      </w:r>
      <w:r w:rsidRPr="00CC7956">
        <w:rPr>
          <w:rFonts w:ascii="Garamond" w:hAnsi="Garamond"/>
        </w:rPr>
        <w:fldChar w:fldCharType="separate"/>
      </w:r>
      <w:r w:rsidRPr="00CC7956">
        <w:rPr>
          <w:rFonts w:ascii="Garamond" w:hAnsi="Garamond"/>
          <w:noProof/>
        </w:rPr>
        <w:t>2</w:t>
      </w:r>
      <w:r w:rsidRPr="00CC7956">
        <w:rPr>
          <w:rFonts w:ascii="Garamond" w:hAnsi="Garamond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korrik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2001,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bashku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gjashtë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persona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tjerë,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depozituan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kërkesë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saj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sipërpërmendur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</w:rPr>
        <w:t>Gjonboçari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dhe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të</w:t>
      </w:r>
      <w:r>
        <w:rPr>
          <w:rFonts w:ascii="Garamond" w:hAnsi="Garamond"/>
          <w:i/>
        </w:rPr>
        <w:t xml:space="preserve"> </w:t>
      </w:r>
      <w:r w:rsidRPr="00CC7956">
        <w:rPr>
          <w:rFonts w:ascii="Garamond" w:hAnsi="Garamond"/>
          <w:i/>
        </w:rPr>
        <w:t>tjerët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gjeti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shkelje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nenit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Konventës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moszbatimin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ana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autoriteteve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2003,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cili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urdhëronte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Komisionin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Kthimit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Kompensimit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Pronave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merrte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lidhje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kthimin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caktuar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(shihni,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veçanti,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§§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52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53,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100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101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Gjonboçari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dhe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të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tjerët</w:t>
      </w:r>
      <w:r w:rsidRPr="00CC7956">
        <w:rPr>
          <w:rFonts w:ascii="Garamond" w:hAnsi="Garamond"/>
        </w:rPr>
        <w:t>).</w:t>
      </w:r>
    </w:p>
    <w:p w14:paraId="247AADE3" w14:textId="18BB271E" w:rsidR="00267378" w:rsidRPr="00CC7956" w:rsidRDefault="00267378" w:rsidP="00267378">
      <w:pPr>
        <w:pStyle w:val="JuPara"/>
        <w:rPr>
          <w:rFonts w:ascii="Garamond" w:hAnsi="Garamond" w:cstheme="minorHAnsi"/>
        </w:rPr>
      </w:pPr>
      <w:r w:rsidRPr="00CC7956">
        <w:rPr>
          <w:rFonts w:ascii="Garamond" w:hAnsi="Garamond"/>
        </w:rPr>
        <w:fldChar w:fldCharType="begin"/>
      </w:r>
      <w:r w:rsidRPr="00CC7956">
        <w:rPr>
          <w:rFonts w:ascii="Garamond" w:hAnsi="Garamond"/>
        </w:rPr>
        <w:instrText xml:space="preserve"> SEQ level0 \*arabic \* MERGEFORMAT </w:instrText>
      </w:r>
      <w:r w:rsidRPr="00CC7956">
        <w:rPr>
          <w:rFonts w:ascii="Garamond" w:hAnsi="Garamond"/>
        </w:rPr>
        <w:fldChar w:fldCharType="separate"/>
      </w:r>
      <w:r w:rsidRPr="00CC7956">
        <w:rPr>
          <w:rFonts w:ascii="Garamond" w:hAnsi="Garamond"/>
          <w:noProof/>
        </w:rPr>
        <w:t>3</w:t>
      </w:r>
      <w:r w:rsidRPr="00CC7956">
        <w:rPr>
          <w:rFonts w:ascii="Garamond" w:hAnsi="Garamond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Ndërkohë,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31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gusht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2007,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Agjencia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Rajonale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Kthimit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Kompensimit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Pronave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</w:t>
      </w:r>
      <w:r w:rsidR="00C472E1">
        <w:rPr>
          <w:rFonts w:ascii="Garamond" w:hAnsi="Garamond"/>
        </w:rPr>
        <w:t>“</w:t>
      </w:r>
      <w:r w:rsidRPr="00CC7956">
        <w:rPr>
          <w:rFonts w:ascii="Garamond" w:hAnsi="Garamond"/>
        </w:rPr>
        <w:t>Agjencia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Vlorës</w:t>
      </w:r>
      <w:r w:rsidR="00C472E1">
        <w:rPr>
          <w:rFonts w:ascii="Garamond" w:hAnsi="Garamond"/>
        </w:rPr>
        <w:t>”</w:t>
      </w:r>
      <w:r w:rsidRPr="00CC7956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hodhi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poshtë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pretendimet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pronësisë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duke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konstatuar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nuk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ishin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dorëzuar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dokumentet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ligjore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mbështetje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kërkesës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shkak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mbivendosjes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pretendimeve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ato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pretenduesve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tjerë.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Ky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fuqi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apel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filloi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gjyqësor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kundër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tyre.</w:t>
      </w:r>
    </w:p>
    <w:p w14:paraId="116D91EB" w14:textId="695E602A" w:rsidR="00267378" w:rsidRPr="00CC7956" w:rsidRDefault="00267378" w:rsidP="00267378">
      <w:pPr>
        <w:pStyle w:val="JuPara"/>
        <w:rPr>
          <w:rFonts w:ascii="Garamond" w:hAnsi="Garamond" w:cstheme="minorHAnsi"/>
        </w:rPr>
      </w:pPr>
      <w:r w:rsidRPr="00CC7956">
        <w:rPr>
          <w:rFonts w:ascii="Garamond" w:hAnsi="Garamond" w:cstheme="minorHAnsi"/>
        </w:rPr>
        <w:fldChar w:fldCharType="begin"/>
      </w:r>
      <w:r w:rsidRPr="00CC7956">
        <w:rPr>
          <w:rFonts w:ascii="Garamond" w:hAnsi="Garamond" w:cstheme="minorHAnsi"/>
        </w:rPr>
        <w:instrText xml:space="preserve"> SEQ level0 \*arabic \* MERGEFORMAT </w:instrText>
      </w:r>
      <w:r w:rsidRPr="00CC7956">
        <w:rPr>
          <w:rFonts w:ascii="Garamond" w:hAnsi="Garamond" w:cstheme="minorHAnsi"/>
        </w:rPr>
        <w:fldChar w:fldCharType="separate"/>
      </w:r>
      <w:r w:rsidRPr="00CC7956">
        <w:rPr>
          <w:rFonts w:ascii="Garamond" w:hAnsi="Garamond" w:cstheme="minorHAnsi"/>
          <w:noProof/>
        </w:rPr>
        <w:t>4</w:t>
      </w:r>
      <w:r w:rsidRPr="00CC7956">
        <w:rPr>
          <w:rFonts w:ascii="Garamond" w:hAnsi="Garamond" w:cstheme="minorHAnsi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Ndërkohë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këto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civile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ishin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pritje,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tjetër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administrativ,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kërkesë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palëve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treta,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Agjencia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Vlorës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saj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nr.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45/2009,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2009,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njohu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pronësinë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palëve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treta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kërkuesi.</w:t>
      </w:r>
    </w:p>
    <w:p w14:paraId="33839D8B" w14:textId="0D32FF58" w:rsidR="00267378" w:rsidRPr="00CC7956" w:rsidRDefault="00267378" w:rsidP="00267378">
      <w:pPr>
        <w:pStyle w:val="JuPara"/>
        <w:rPr>
          <w:rFonts w:ascii="Garamond" w:hAnsi="Garamond" w:cstheme="minorHAnsi"/>
        </w:rPr>
      </w:pPr>
      <w:r w:rsidRPr="00CC7956">
        <w:rPr>
          <w:rFonts w:ascii="Garamond" w:hAnsi="Garamond" w:cstheme="minorHAnsi"/>
        </w:rPr>
        <w:fldChar w:fldCharType="begin"/>
      </w:r>
      <w:r w:rsidRPr="00CC7956">
        <w:rPr>
          <w:rFonts w:ascii="Garamond" w:hAnsi="Garamond" w:cstheme="minorHAnsi"/>
        </w:rPr>
        <w:instrText xml:space="preserve"> SEQ level0 \*arabic \* MERGEFORMAT </w:instrText>
      </w:r>
      <w:r w:rsidRPr="00CC7956">
        <w:rPr>
          <w:rFonts w:ascii="Garamond" w:hAnsi="Garamond" w:cstheme="minorHAnsi"/>
        </w:rPr>
        <w:fldChar w:fldCharType="separate"/>
      </w:r>
      <w:r w:rsidRPr="00CC7956">
        <w:rPr>
          <w:rFonts w:ascii="Garamond" w:hAnsi="Garamond" w:cstheme="minorHAnsi"/>
          <w:noProof/>
        </w:rPr>
        <w:t>5</w:t>
      </w:r>
      <w:r w:rsidRPr="00CC7956">
        <w:rPr>
          <w:rFonts w:ascii="Garamond" w:hAnsi="Garamond" w:cstheme="minorHAnsi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përfundimit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këtij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administrativ,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Apelit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Vlorë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rrëzuar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datën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prill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2017,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arsyetimin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administrativ,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duke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njohur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pronësinë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palëve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treta,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ishte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përputhje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2003,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rrjedhimisht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Gjonboçari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dhe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të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tjerët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(shihni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lastRenderedPageBreak/>
        <w:t>paragrafin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lart),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administrativ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formës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shërbente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titull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ekzekutiv.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Apelit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shpreh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gjithashtu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administrativ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ishte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zgjidhje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përfundimtare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pretendimeve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kontradiktore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pronësisë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njëjtën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pronë.</w:t>
      </w:r>
    </w:p>
    <w:p w14:paraId="5B3FA7AC" w14:textId="2EF02349" w:rsidR="00267378" w:rsidRPr="00CC7956" w:rsidRDefault="00267378" w:rsidP="00267378">
      <w:pPr>
        <w:pStyle w:val="JuPara"/>
        <w:rPr>
          <w:rFonts w:ascii="Garamond" w:hAnsi="Garamond" w:cstheme="minorHAnsi"/>
        </w:rPr>
      </w:pPr>
      <w:r w:rsidRPr="00CC7956">
        <w:rPr>
          <w:rFonts w:ascii="Garamond" w:hAnsi="Garamond" w:cstheme="minorHAnsi"/>
        </w:rPr>
        <w:fldChar w:fldCharType="begin"/>
      </w:r>
      <w:r w:rsidRPr="00CC7956">
        <w:rPr>
          <w:rFonts w:ascii="Garamond" w:hAnsi="Garamond" w:cstheme="minorHAnsi"/>
        </w:rPr>
        <w:instrText xml:space="preserve"> SEQ level0 \*arabic \* MERGEFORMAT </w:instrText>
      </w:r>
      <w:r w:rsidRPr="00CC7956">
        <w:rPr>
          <w:rFonts w:ascii="Garamond" w:hAnsi="Garamond" w:cstheme="minorHAnsi"/>
        </w:rPr>
        <w:fldChar w:fldCharType="separate"/>
      </w:r>
      <w:r w:rsidRPr="00CC7956">
        <w:rPr>
          <w:rFonts w:ascii="Garamond" w:hAnsi="Garamond" w:cstheme="minorHAnsi"/>
          <w:noProof/>
        </w:rPr>
        <w:t>6</w:t>
      </w:r>
      <w:r w:rsidRPr="00CC7956">
        <w:rPr>
          <w:rFonts w:ascii="Garamond" w:hAnsi="Garamond" w:cstheme="minorHAnsi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paraqiti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rekurs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është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ende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pritje.</w:t>
      </w:r>
    </w:p>
    <w:p w14:paraId="34106AF2" w14:textId="3E4D6183" w:rsidR="00267378" w:rsidRPr="00CC7956" w:rsidRDefault="00267378" w:rsidP="00267378">
      <w:pPr>
        <w:pStyle w:val="JuHHead"/>
        <w:spacing w:before="0" w:beforeAutospacing="0" w:after="0"/>
        <w:ind w:firstLine="284"/>
        <w:rPr>
          <w:rFonts w:ascii="Garamond" w:hAnsi="Garamond"/>
          <w:sz w:val="24"/>
          <w:szCs w:val="24"/>
        </w:rPr>
      </w:pPr>
      <w:r w:rsidRPr="00CC7956">
        <w:rPr>
          <w:rFonts w:ascii="Garamond" w:hAnsi="Garamond"/>
          <w:sz w:val="24"/>
          <w:szCs w:val="24"/>
        </w:rPr>
        <w:t>VLERËSIMI</w:t>
      </w:r>
      <w:r>
        <w:rPr>
          <w:rFonts w:ascii="Garamond" w:hAnsi="Garamond"/>
          <w:sz w:val="24"/>
          <w:szCs w:val="24"/>
        </w:rPr>
        <w:t xml:space="preserve"> </w:t>
      </w:r>
      <w:r w:rsidRPr="00CC7956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Pr="00CC7956">
        <w:rPr>
          <w:rFonts w:ascii="Garamond" w:hAnsi="Garamond"/>
          <w:sz w:val="24"/>
          <w:szCs w:val="24"/>
        </w:rPr>
        <w:t>GJYKATËS</w:t>
      </w:r>
    </w:p>
    <w:p w14:paraId="74E38A3F" w14:textId="2DDC330B" w:rsidR="00267378" w:rsidRPr="00CC7956" w:rsidRDefault="00267378" w:rsidP="00267378">
      <w:pPr>
        <w:pStyle w:val="JuPara"/>
        <w:rPr>
          <w:rStyle w:val="JuParaChar"/>
          <w:rFonts w:ascii="Garamond" w:hAnsi="Garamond"/>
        </w:rPr>
      </w:pPr>
      <w:r w:rsidRPr="00CC7956">
        <w:rPr>
          <w:rFonts w:ascii="Garamond" w:hAnsi="Garamond" w:cstheme="minorHAnsi"/>
        </w:rPr>
        <w:fldChar w:fldCharType="begin"/>
      </w:r>
      <w:r w:rsidRPr="00CC7956">
        <w:rPr>
          <w:rFonts w:ascii="Garamond" w:hAnsi="Garamond" w:cstheme="minorHAnsi"/>
        </w:rPr>
        <w:instrText xml:space="preserve"> SEQ level0 \*arabic \* MERGEFORMAT </w:instrText>
      </w:r>
      <w:r w:rsidRPr="00CC7956">
        <w:rPr>
          <w:rFonts w:ascii="Garamond" w:hAnsi="Garamond" w:cstheme="minorHAnsi"/>
        </w:rPr>
        <w:fldChar w:fldCharType="separate"/>
      </w:r>
      <w:r w:rsidRPr="00CC7956">
        <w:rPr>
          <w:rFonts w:ascii="Garamond" w:hAnsi="Garamond" w:cstheme="minorHAnsi"/>
          <w:noProof/>
        </w:rPr>
        <w:t>7</w:t>
      </w:r>
      <w:r w:rsidRPr="00CC7956">
        <w:rPr>
          <w:rFonts w:ascii="Garamond" w:hAnsi="Garamond" w:cstheme="minorHAnsi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Kërkuesi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u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ankua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sipas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nenit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6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§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1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të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Konventës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për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kohëzgjatjen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proceseve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gjyqësore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në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lidhje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me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ekzekutimin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vendimit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të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Gjykatës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së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Lartë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të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datës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6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mars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2003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dhe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vendimit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të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Gjykatës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së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datës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23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tetor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2007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(shihni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paragrafin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2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më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lart)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dhe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gjithashtu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pretendoi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se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këto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vendime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nuk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ishin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ekzekutuar.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Ai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gjithashtu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pretendoi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mungesën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mjeteve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juridike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efektive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sipas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nenit</w:t>
      </w:r>
      <w:r>
        <w:rPr>
          <w:rStyle w:val="JuParaChar"/>
          <w:rFonts w:ascii="Garamond" w:hAnsi="Garamond"/>
        </w:rPr>
        <w:t xml:space="preserve"> </w:t>
      </w:r>
      <w:r w:rsidRPr="00CC7956">
        <w:rPr>
          <w:rStyle w:val="JuParaChar"/>
          <w:rFonts w:ascii="Garamond" w:hAnsi="Garamond"/>
        </w:rPr>
        <w:t>13.</w:t>
      </w:r>
    </w:p>
    <w:p w14:paraId="583B85E7" w14:textId="4468E5F6" w:rsidR="00267378" w:rsidRPr="00CC7956" w:rsidRDefault="00267378" w:rsidP="00267378">
      <w:pPr>
        <w:pStyle w:val="JuPara"/>
        <w:rPr>
          <w:rFonts w:ascii="Garamond" w:hAnsi="Garamond"/>
        </w:rPr>
      </w:pPr>
      <w:r w:rsidRPr="00CC7956">
        <w:rPr>
          <w:rFonts w:ascii="Garamond" w:hAnsi="Garamond"/>
        </w:rPr>
        <w:fldChar w:fldCharType="begin"/>
      </w:r>
      <w:r w:rsidRPr="00CC7956">
        <w:rPr>
          <w:rFonts w:ascii="Garamond" w:hAnsi="Garamond"/>
        </w:rPr>
        <w:instrText xml:space="preserve"> SEQ level0 \*arabic \* MERGEFORMAT </w:instrText>
      </w:r>
      <w:r w:rsidRPr="00CC7956">
        <w:rPr>
          <w:rFonts w:ascii="Garamond" w:hAnsi="Garamond"/>
        </w:rPr>
        <w:fldChar w:fldCharType="separate"/>
      </w:r>
      <w:r w:rsidRPr="00CC7956">
        <w:rPr>
          <w:rFonts w:ascii="Garamond" w:hAnsi="Garamond"/>
          <w:noProof/>
        </w:rPr>
        <w:t>8</w:t>
      </w:r>
      <w:r w:rsidRPr="00CC7956">
        <w:rPr>
          <w:rFonts w:ascii="Garamond" w:hAnsi="Garamond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Qeveria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argumentoi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fjalë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ishin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ekzekutuar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Komisionit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Vlorës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kishin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zgjidhur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ato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palëve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treta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(shihni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paragrafët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3-5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lart).</w:t>
      </w:r>
    </w:p>
    <w:p w14:paraId="7E8CC1DC" w14:textId="67602942" w:rsidR="00267378" w:rsidRPr="00CC7956" w:rsidRDefault="00267378" w:rsidP="00267378">
      <w:pPr>
        <w:pStyle w:val="JuPara"/>
        <w:rPr>
          <w:rFonts w:ascii="Garamond" w:hAnsi="Garamond" w:cstheme="minorHAnsi"/>
        </w:rPr>
      </w:pPr>
      <w:r w:rsidRPr="00CC7956">
        <w:rPr>
          <w:rFonts w:ascii="Garamond" w:hAnsi="Garamond"/>
        </w:rPr>
        <w:fldChar w:fldCharType="begin"/>
      </w:r>
      <w:r w:rsidRPr="00CC7956">
        <w:rPr>
          <w:rFonts w:ascii="Garamond" w:hAnsi="Garamond"/>
        </w:rPr>
        <w:instrText xml:space="preserve"> SEQ level0 \*arabic \* MERGEFORMAT </w:instrText>
      </w:r>
      <w:r w:rsidRPr="00CC7956">
        <w:rPr>
          <w:rFonts w:ascii="Garamond" w:hAnsi="Garamond"/>
        </w:rPr>
        <w:fldChar w:fldCharType="separate"/>
      </w:r>
      <w:r w:rsidRPr="00CC7956">
        <w:rPr>
          <w:rFonts w:ascii="Garamond" w:hAnsi="Garamond"/>
          <w:noProof/>
        </w:rPr>
        <w:t>9</w:t>
      </w:r>
      <w:r w:rsidRPr="00CC7956">
        <w:rPr>
          <w:rFonts w:ascii="Garamond" w:hAnsi="Garamond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vëren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saj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sipërpërmendur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Gjonboçari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dhe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të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tjerët</w:t>
      </w:r>
      <w:r w:rsidRPr="00CC795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inter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alia</w:t>
      </w:r>
      <w:r w:rsidRPr="00CC795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kërkoi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Qeverisë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="00C472E1">
        <w:rPr>
          <w:rFonts w:ascii="Garamond" w:hAnsi="Garamond"/>
        </w:rPr>
        <w:t>“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siguronte,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mjetet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duhura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shpejt,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ekzekutimin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formës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brendshme</w:t>
      </w:r>
      <w:r w:rsidR="00C472E1">
        <w:rPr>
          <w:rFonts w:ascii="Garamond" w:hAnsi="Garamond"/>
        </w:rPr>
        <w:t>”</w:t>
      </w:r>
      <w:r w:rsidRPr="00CC795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përkatësisht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2003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</w:t>
      </w:r>
      <w:r w:rsidRPr="00CC7956">
        <w:rPr>
          <w:rFonts w:ascii="Garamond" w:hAnsi="Garamond"/>
          <w:i/>
          <w:iCs/>
        </w:rPr>
        <w:t>idem</w:t>
      </w:r>
      <w:r w:rsidRPr="00CC7956">
        <w:rPr>
          <w:rFonts w:ascii="Garamond" w:hAnsi="Garamond"/>
        </w:rPr>
        <w:t>.,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101).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fjalë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urdhëroi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color w:val="000000"/>
        </w:rPr>
        <w:t>Komisionin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Vlorës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që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merrte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vendim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në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lidhje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pretendimin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kërkuesit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dhe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vëllezërve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motrave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tij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për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kthimin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pronave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konfiskuara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prindërve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tyre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(</w:t>
      </w:r>
      <w:r w:rsidRPr="00CC7956">
        <w:rPr>
          <w:rFonts w:ascii="Garamond" w:hAnsi="Garamond"/>
          <w:i/>
          <w:iCs/>
          <w:color w:val="000000"/>
        </w:rPr>
        <w:t>idem</w:t>
      </w:r>
      <w:r w:rsidRPr="00CC7956">
        <w:rPr>
          <w:rFonts w:ascii="Garamond" w:hAnsi="Garamond"/>
          <w:color w:val="000000"/>
        </w:rPr>
        <w:t>.,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§§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6,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7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dhe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27).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Në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lidhje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këtë,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Agjencia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Vlorës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fillimisht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rrëzoi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pretendimin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kërkuesit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31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gusht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2007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dhe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pas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vendimit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Gjykatës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për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çështjen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i/>
          <w:iCs/>
          <w:color w:val="000000"/>
        </w:rPr>
        <w:t>Gjonboçari</w:t>
      </w:r>
      <w:r>
        <w:rPr>
          <w:rFonts w:ascii="Garamond" w:hAnsi="Garamond"/>
          <w:i/>
          <w:iCs/>
          <w:color w:val="000000"/>
        </w:rPr>
        <w:t xml:space="preserve"> </w:t>
      </w:r>
      <w:r w:rsidRPr="00CC7956">
        <w:rPr>
          <w:rFonts w:ascii="Garamond" w:hAnsi="Garamond"/>
          <w:i/>
          <w:iCs/>
          <w:color w:val="000000"/>
        </w:rPr>
        <w:t>dhe</w:t>
      </w:r>
      <w:r>
        <w:rPr>
          <w:rFonts w:ascii="Garamond" w:hAnsi="Garamond"/>
          <w:i/>
          <w:iCs/>
          <w:color w:val="000000"/>
        </w:rPr>
        <w:t xml:space="preserve"> </w:t>
      </w:r>
      <w:r w:rsidRPr="00CC7956">
        <w:rPr>
          <w:rFonts w:ascii="Garamond" w:hAnsi="Garamond"/>
          <w:i/>
          <w:iCs/>
          <w:color w:val="000000"/>
        </w:rPr>
        <w:t>të</w:t>
      </w:r>
      <w:r>
        <w:rPr>
          <w:rFonts w:ascii="Garamond" w:hAnsi="Garamond"/>
          <w:i/>
          <w:iCs/>
          <w:color w:val="000000"/>
        </w:rPr>
        <w:t xml:space="preserve"> </w:t>
      </w:r>
      <w:r w:rsidRPr="00CC7956">
        <w:rPr>
          <w:rFonts w:ascii="Garamond" w:hAnsi="Garamond"/>
          <w:i/>
          <w:iCs/>
          <w:color w:val="000000"/>
        </w:rPr>
        <w:t>tjerët</w:t>
      </w:r>
      <w:r w:rsidRPr="00CC7956">
        <w:rPr>
          <w:rFonts w:ascii="Garamond" w:hAnsi="Garamond"/>
          <w:color w:val="000000"/>
        </w:rPr>
        <w:t>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11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mars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2009,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mori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vendimin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nr.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45/2009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cilin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njohu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pronësinë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palëve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treta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kështu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zgjidhi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përfundimisht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gjyqësor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pasoi,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nisur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nga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lidhje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Agjencisë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Vlorës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31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gusht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2007,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nuk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mund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vërë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dyshim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faktin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Agjencia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Vlorës,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duke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marrë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saj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2009,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zbatoi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2003.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Prandaj,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Gjonbocari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dhe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të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tjerët</w:t>
      </w:r>
      <w:r w:rsidRPr="00CC795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gjyqësor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fjalë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zgjati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vit,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katër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muaj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pesëmbëdhjetë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ditë,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periudhë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kjo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duket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arsyeshme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(shihni,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parimet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përgjithshme,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Frydlender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kundër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Francës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([DHM],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nr.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30979/96,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§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43,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GJEDNJ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2000-VII).</w:t>
      </w:r>
    </w:p>
    <w:p w14:paraId="78F6180B" w14:textId="22F151AA" w:rsidR="00267378" w:rsidRPr="00CC7956" w:rsidRDefault="00267378" w:rsidP="00267378">
      <w:pPr>
        <w:pStyle w:val="JuPara"/>
        <w:rPr>
          <w:rFonts w:ascii="Garamond" w:hAnsi="Garamond"/>
          <w:i/>
          <w:iCs/>
        </w:rPr>
      </w:pPr>
      <w:r w:rsidRPr="00CC7956">
        <w:rPr>
          <w:rFonts w:ascii="Garamond" w:hAnsi="Garamond"/>
        </w:rPr>
        <w:fldChar w:fldCharType="begin"/>
      </w:r>
      <w:r w:rsidRPr="00CC7956">
        <w:rPr>
          <w:rFonts w:ascii="Garamond" w:hAnsi="Garamond"/>
        </w:rPr>
        <w:instrText xml:space="preserve"> SEQ level0 \*arabic \* MERGEFORMAT </w:instrText>
      </w:r>
      <w:r w:rsidRPr="00CC7956">
        <w:rPr>
          <w:rFonts w:ascii="Garamond" w:hAnsi="Garamond"/>
        </w:rPr>
        <w:fldChar w:fldCharType="separate"/>
      </w:r>
      <w:r w:rsidRPr="00CC7956">
        <w:rPr>
          <w:rFonts w:ascii="Garamond" w:hAnsi="Garamond"/>
          <w:noProof/>
        </w:rPr>
        <w:t>10</w:t>
      </w:r>
      <w:r w:rsidRPr="00CC7956">
        <w:rPr>
          <w:rFonts w:ascii="Garamond" w:hAnsi="Garamond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vëren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gjithashtu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përfshinte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pyetje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komplekse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faktike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ligjore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disa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persona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pretendonin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titullin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njëjtën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parcelë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toke,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kontekstin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kthimit.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Ajo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gjithashtu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konstaton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autoritetet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kanë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vepruar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shpejtësi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Gjonboçari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dhe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të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tjerët.</w:t>
      </w:r>
    </w:p>
    <w:p w14:paraId="14055968" w14:textId="735D585E" w:rsidR="00267378" w:rsidRPr="00CC7956" w:rsidRDefault="00267378" w:rsidP="00267378">
      <w:pPr>
        <w:pStyle w:val="JuPara"/>
        <w:rPr>
          <w:rFonts w:ascii="Garamond" w:hAnsi="Garamond" w:cstheme="minorHAnsi"/>
        </w:rPr>
      </w:pPr>
      <w:r w:rsidRPr="00CC7956">
        <w:rPr>
          <w:rFonts w:ascii="Garamond" w:hAnsi="Garamond" w:cstheme="minorHAnsi"/>
        </w:rPr>
        <w:fldChar w:fldCharType="begin"/>
      </w:r>
      <w:r w:rsidRPr="00CC7956">
        <w:rPr>
          <w:rFonts w:ascii="Garamond" w:hAnsi="Garamond" w:cstheme="minorHAnsi"/>
        </w:rPr>
        <w:instrText xml:space="preserve"> SEQ level0 \*arabic \* MERGEFORMAT </w:instrText>
      </w:r>
      <w:r w:rsidRPr="00CC7956">
        <w:rPr>
          <w:rFonts w:ascii="Garamond" w:hAnsi="Garamond" w:cstheme="minorHAnsi"/>
        </w:rPr>
        <w:fldChar w:fldCharType="separate"/>
      </w:r>
      <w:r w:rsidRPr="00CC7956">
        <w:rPr>
          <w:rFonts w:ascii="Garamond" w:hAnsi="Garamond" w:cstheme="minorHAnsi"/>
          <w:noProof/>
        </w:rPr>
        <w:t>11</w:t>
      </w:r>
      <w:r w:rsidRPr="00CC7956">
        <w:rPr>
          <w:rFonts w:ascii="Garamond" w:hAnsi="Garamond" w:cstheme="minorHAnsi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vëren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gjithashtu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iu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shpërblim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drejtë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kohëzgjatjen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procedurave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përmbarimore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fjalë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saj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çështjen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  <w:i/>
          <w:iCs/>
        </w:rPr>
        <w:t>Gjonboçari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dhe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të</w:t>
      </w:r>
      <w:r>
        <w:rPr>
          <w:rFonts w:ascii="Garamond" w:hAnsi="Garamond"/>
          <w:i/>
          <w:iCs/>
        </w:rPr>
        <w:t xml:space="preserve"> </w:t>
      </w:r>
      <w:r w:rsidRPr="00CC7956">
        <w:rPr>
          <w:rFonts w:ascii="Garamond" w:hAnsi="Garamond"/>
          <w:i/>
          <w:iCs/>
        </w:rPr>
        <w:t>tjerët</w:t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këtij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Agjencia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Vlorës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zbatoi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mars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2003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nxori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mbi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pretendimin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kërkuesit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kthimin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pronës.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përket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mënyrës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autoritetet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brendshme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kanë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zbatuar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Gjykatës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Lartë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fjalë,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nuk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gjen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ndonjë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faktor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që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do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tregonte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autoritetet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ishin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përgjegjëse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vonesat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ose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përndryshe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nuk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arritën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zbatonin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vendimin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brendshëm.</w:t>
      </w:r>
    </w:p>
    <w:p w14:paraId="2C43A48D" w14:textId="7686C6E0" w:rsidR="00267378" w:rsidRPr="00CC7956" w:rsidRDefault="00267378" w:rsidP="00267378">
      <w:pPr>
        <w:pStyle w:val="JuPara"/>
        <w:rPr>
          <w:rFonts w:ascii="Garamond" w:hAnsi="Garamond" w:cstheme="minorHAnsi"/>
        </w:rPr>
      </w:pPr>
      <w:r w:rsidRPr="00CC7956">
        <w:rPr>
          <w:rFonts w:ascii="Garamond" w:hAnsi="Garamond" w:cstheme="minorHAnsi"/>
        </w:rPr>
        <w:fldChar w:fldCharType="begin"/>
      </w:r>
      <w:r w:rsidRPr="00CC7956">
        <w:rPr>
          <w:rFonts w:ascii="Garamond" w:hAnsi="Garamond" w:cstheme="minorHAnsi"/>
        </w:rPr>
        <w:instrText xml:space="preserve"> SEQ level0 \*arabic \* MERGEFORMAT </w:instrText>
      </w:r>
      <w:r w:rsidRPr="00CC7956">
        <w:rPr>
          <w:rFonts w:ascii="Garamond" w:hAnsi="Garamond" w:cstheme="minorHAnsi"/>
        </w:rPr>
        <w:fldChar w:fldCharType="separate"/>
      </w:r>
      <w:r w:rsidRPr="00CC7956">
        <w:rPr>
          <w:rFonts w:ascii="Garamond" w:hAnsi="Garamond" w:cstheme="minorHAnsi"/>
          <w:noProof/>
        </w:rPr>
        <w:t>12</w:t>
      </w:r>
      <w:r w:rsidRPr="00CC7956">
        <w:rPr>
          <w:rFonts w:ascii="Garamond" w:hAnsi="Garamond" w:cstheme="minorHAnsi"/>
        </w:rPr>
        <w:fldChar w:fldCharType="end"/>
      </w:r>
      <w:r w:rsidRPr="00CC795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rrjedhojë,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ky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ankim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është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haptazi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pabazuar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duhet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refuzohet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përputhje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nenin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35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§§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3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4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të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Konventës.</w:t>
      </w:r>
    </w:p>
    <w:p w14:paraId="3A0C90C9" w14:textId="0C1E70E5" w:rsidR="00267378" w:rsidRPr="00CC7956" w:rsidRDefault="00267378" w:rsidP="00267378">
      <w:pPr>
        <w:pStyle w:val="JuPara"/>
        <w:rPr>
          <w:rFonts w:ascii="Garamond" w:hAnsi="Garamond"/>
          <w:color w:val="000000"/>
        </w:rPr>
      </w:pPr>
      <w:r w:rsidRPr="00CC7956">
        <w:rPr>
          <w:rFonts w:ascii="Garamond" w:hAnsi="Garamond" w:cstheme="minorHAnsi"/>
          <w:color w:val="000000"/>
        </w:rPr>
        <w:fldChar w:fldCharType="begin"/>
      </w:r>
      <w:r w:rsidRPr="00CC7956">
        <w:rPr>
          <w:rFonts w:ascii="Garamond" w:hAnsi="Garamond" w:cstheme="minorHAnsi"/>
          <w:color w:val="000000"/>
        </w:rPr>
        <w:instrText xml:space="preserve"> SEQ level0 \*arabic \* MERGEFORMAT </w:instrText>
      </w:r>
      <w:r w:rsidRPr="00CC7956">
        <w:rPr>
          <w:rFonts w:ascii="Garamond" w:hAnsi="Garamond" w:cstheme="minorHAnsi"/>
          <w:color w:val="000000"/>
        </w:rPr>
        <w:fldChar w:fldCharType="separate"/>
      </w:r>
      <w:r w:rsidRPr="00CC7956">
        <w:rPr>
          <w:rFonts w:ascii="Garamond" w:hAnsi="Garamond" w:cstheme="minorHAnsi"/>
          <w:noProof/>
          <w:color w:val="000000"/>
        </w:rPr>
        <w:t>13</w:t>
      </w:r>
      <w:r w:rsidRPr="00CC7956">
        <w:rPr>
          <w:rFonts w:ascii="Garamond" w:hAnsi="Garamond" w:cstheme="minorHAnsi"/>
          <w:color w:val="000000"/>
        </w:rPr>
        <w:fldChar w:fldCharType="end"/>
      </w:r>
      <w:r w:rsidRPr="00CC7956">
        <w:rPr>
          <w:rFonts w:ascii="Garamond" w:hAnsi="Garamond"/>
          <w:color w:val="000000"/>
        </w:rPr>
        <w:t>.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Sa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i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përket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ankimit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sipas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nenit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13,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Gjykata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vëren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se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ai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është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i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lidhur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pazgjidhshmërisht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atë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shqyrtuar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sipër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dhe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për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këtë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arsye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duhet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të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shpallet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gjithashtu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i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papranueshëm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(shihni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i/>
          <w:iCs/>
          <w:color w:val="000000"/>
        </w:rPr>
        <w:t>Ljubičić</w:t>
      </w:r>
      <w:r>
        <w:rPr>
          <w:rFonts w:ascii="Garamond" w:hAnsi="Garamond"/>
          <w:i/>
          <w:iCs/>
          <w:color w:val="000000"/>
        </w:rPr>
        <w:t xml:space="preserve"> </w:t>
      </w:r>
      <w:r w:rsidRPr="00CC7956">
        <w:rPr>
          <w:rFonts w:ascii="Garamond" w:hAnsi="Garamond"/>
          <w:i/>
          <w:iCs/>
          <w:color w:val="000000"/>
        </w:rPr>
        <w:t>kundër</w:t>
      </w:r>
      <w:r>
        <w:rPr>
          <w:rFonts w:ascii="Garamond" w:hAnsi="Garamond"/>
          <w:i/>
          <w:iCs/>
          <w:color w:val="000000"/>
        </w:rPr>
        <w:t xml:space="preserve"> </w:t>
      </w:r>
      <w:r w:rsidRPr="00CC7956">
        <w:rPr>
          <w:rFonts w:ascii="Garamond" w:hAnsi="Garamond"/>
          <w:i/>
          <w:iCs/>
          <w:color w:val="000000"/>
        </w:rPr>
        <w:t>Kroacisë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(vendim),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nr.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17338/05,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10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maj</w:t>
      </w:r>
      <w:r>
        <w:rPr>
          <w:rFonts w:ascii="Garamond" w:hAnsi="Garamond"/>
          <w:color w:val="000000"/>
        </w:rPr>
        <w:t xml:space="preserve"> </w:t>
      </w:r>
      <w:r w:rsidRPr="00CC7956">
        <w:rPr>
          <w:rFonts w:ascii="Garamond" w:hAnsi="Garamond"/>
          <w:color w:val="000000"/>
        </w:rPr>
        <w:t>2007).</w:t>
      </w:r>
      <w:r>
        <w:rPr>
          <w:rFonts w:ascii="Garamond" w:hAnsi="Garamond"/>
          <w:color w:val="000000"/>
        </w:rPr>
        <w:t xml:space="preserve"> </w:t>
      </w:r>
    </w:p>
    <w:p w14:paraId="391A299B" w14:textId="77777777" w:rsidR="00FB4067" w:rsidRDefault="00FB4067" w:rsidP="00267378">
      <w:pPr>
        <w:pStyle w:val="JuPara"/>
        <w:rPr>
          <w:rFonts w:ascii="Garamond" w:hAnsi="Garamond"/>
        </w:rPr>
      </w:pPr>
    </w:p>
    <w:p w14:paraId="249333EC" w14:textId="593D7605" w:rsidR="00267378" w:rsidRPr="00CC7956" w:rsidRDefault="00570EFA" w:rsidP="00FB4067">
      <w:pPr>
        <w:pStyle w:val="JuPara"/>
        <w:jc w:val="center"/>
        <w:rPr>
          <w:rFonts w:ascii="Garamond" w:hAnsi="Garamond"/>
        </w:rPr>
      </w:pPr>
      <w:r w:rsidRPr="00CC7956">
        <w:rPr>
          <w:rFonts w:ascii="Garamond" w:hAnsi="Garamond"/>
        </w:rPr>
        <w:t>PËR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KËTO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ARSYE,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GJYKATA,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UNANIMISHT,</w:t>
      </w:r>
    </w:p>
    <w:p w14:paraId="01E29EA6" w14:textId="77777777" w:rsidR="00FB4067" w:rsidRDefault="00FB4067" w:rsidP="00267378">
      <w:pPr>
        <w:pStyle w:val="JuPara"/>
        <w:rPr>
          <w:rFonts w:ascii="Garamond" w:hAnsi="Garamond"/>
          <w:i/>
        </w:rPr>
      </w:pPr>
    </w:p>
    <w:p w14:paraId="1497E440" w14:textId="279618B0" w:rsidR="00267378" w:rsidRPr="00EB69DB" w:rsidRDefault="00EB69DB" w:rsidP="00267378">
      <w:pPr>
        <w:pStyle w:val="JuPara"/>
        <w:rPr>
          <w:rFonts w:ascii="Garamond" w:hAnsi="Garamond"/>
        </w:rPr>
      </w:pPr>
      <w:r w:rsidRPr="00EB69DB">
        <w:rPr>
          <w:rFonts w:ascii="Garamond" w:hAnsi="Garamond"/>
          <w:i/>
        </w:rPr>
        <w:t>S</w:t>
      </w:r>
      <w:r w:rsidR="00267378" w:rsidRPr="00EB69DB">
        <w:rPr>
          <w:rFonts w:ascii="Garamond" w:hAnsi="Garamond"/>
          <w:i/>
        </w:rPr>
        <w:t>hpall</w:t>
      </w:r>
      <w:r w:rsidR="00267378" w:rsidRPr="00EB69DB">
        <w:rPr>
          <w:rFonts w:ascii="Garamond" w:hAnsi="Garamond"/>
        </w:rPr>
        <w:t xml:space="preserve"> kërkesën të papranueshme.</w:t>
      </w:r>
    </w:p>
    <w:p w14:paraId="2D77445D" w14:textId="63C9B474" w:rsidR="00267378" w:rsidRPr="00CC7956" w:rsidRDefault="00267378" w:rsidP="00267378">
      <w:pPr>
        <w:pStyle w:val="JuPara"/>
        <w:rPr>
          <w:rFonts w:ascii="Garamond" w:hAnsi="Garamond"/>
        </w:rPr>
      </w:pPr>
      <w:r w:rsidRPr="00EB69DB">
        <w:rPr>
          <w:rFonts w:ascii="Garamond" w:hAnsi="Garamond"/>
        </w:rPr>
        <w:t>Bërë në gjuhën</w:t>
      </w:r>
      <w:bookmarkStart w:id="0" w:name="_GoBack"/>
      <w:bookmarkEnd w:id="0"/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angleze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dhe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njoftuar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me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shkrim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më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11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prill</w:t>
      </w:r>
      <w:r>
        <w:rPr>
          <w:rFonts w:ascii="Garamond" w:hAnsi="Garamond"/>
        </w:rPr>
        <w:t xml:space="preserve"> </w:t>
      </w:r>
      <w:r w:rsidRPr="00CC7956">
        <w:rPr>
          <w:rFonts w:ascii="Garamond" w:hAnsi="Garamond"/>
        </w:rPr>
        <w:t>2024.</w:t>
      </w:r>
    </w:p>
    <w:p w14:paraId="75D89755" w14:textId="77777777" w:rsidR="00267378" w:rsidRPr="00267378" w:rsidRDefault="00267378" w:rsidP="00267378">
      <w:pPr>
        <w:pStyle w:val="JuPar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</w:tblGrid>
      <w:tr w:rsidR="00267378" w14:paraId="0A6423FC" w14:textId="77777777" w:rsidTr="00267378">
        <w:tc>
          <w:tcPr>
            <w:tcW w:w="2122" w:type="dxa"/>
          </w:tcPr>
          <w:p w14:paraId="1C752396" w14:textId="77777777" w:rsidR="00267378" w:rsidRPr="00267378" w:rsidRDefault="00267378" w:rsidP="00267378">
            <w:pPr>
              <w:pStyle w:val="JuPara"/>
              <w:ind w:firstLine="0"/>
              <w:jc w:val="center"/>
              <w:rPr>
                <w:rFonts w:ascii="Garamond" w:hAnsi="Garamond"/>
                <w:b/>
              </w:rPr>
            </w:pPr>
            <w:r w:rsidRPr="00267378">
              <w:rPr>
                <w:rFonts w:ascii="Garamond" w:hAnsi="Garamond"/>
                <w:b/>
              </w:rPr>
              <w:t>Olga Chernishova</w:t>
            </w:r>
          </w:p>
          <w:p w14:paraId="2C301F69" w14:textId="50DE635E" w:rsidR="00267378" w:rsidRDefault="00FB4067" w:rsidP="00267378">
            <w:pPr>
              <w:pStyle w:val="JuPara"/>
              <w:ind w:firstLine="0"/>
              <w:jc w:val="center"/>
            </w:pPr>
            <w:r w:rsidRPr="00CC7956">
              <w:rPr>
                <w:rFonts w:ascii="Garamond" w:hAnsi="Garamond"/>
              </w:rPr>
              <w:t>Zëvendëskancelare</w:t>
            </w:r>
          </w:p>
        </w:tc>
        <w:tc>
          <w:tcPr>
            <w:tcW w:w="2693" w:type="dxa"/>
          </w:tcPr>
          <w:p w14:paraId="35407831" w14:textId="5565BA87" w:rsidR="00267378" w:rsidRPr="00267378" w:rsidRDefault="00267378" w:rsidP="00267378">
            <w:pPr>
              <w:pStyle w:val="JuPara"/>
              <w:ind w:firstLine="0"/>
              <w:jc w:val="center"/>
              <w:rPr>
                <w:rFonts w:ascii="Garamond" w:hAnsi="Garamond"/>
                <w:b/>
              </w:rPr>
            </w:pPr>
            <w:r w:rsidRPr="00267378">
              <w:rPr>
                <w:rFonts w:ascii="Garamond" w:hAnsi="Garamond"/>
                <w:b/>
              </w:rPr>
              <w:t>Georgios A. Serghides</w:t>
            </w:r>
          </w:p>
          <w:p w14:paraId="4D31CBCC" w14:textId="41D220C8" w:rsidR="00267378" w:rsidRDefault="00267378" w:rsidP="00267378">
            <w:pPr>
              <w:pStyle w:val="JuPara"/>
              <w:ind w:firstLine="0"/>
              <w:jc w:val="center"/>
            </w:pPr>
            <w:r w:rsidRPr="00CC7956">
              <w:rPr>
                <w:rFonts w:ascii="Garamond" w:hAnsi="Garamond"/>
              </w:rPr>
              <w:t>President</w:t>
            </w:r>
          </w:p>
        </w:tc>
      </w:tr>
    </w:tbl>
    <w:p w14:paraId="3706BCF3" w14:textId="77777777" w:rsidR="00267378" w:rsidRPr="00267378" w:rsidRDefault="00267378" w:rsidP="00267378">
      <w:pPr>
        <w:pStyle w:val="JuPara"/>
      </w:pPr>
    </w:p>
    <w:p w14:paraId="538662F3" w14:textId="08C2A750" w:rsidR="00267378" w:rsidRPr="00CC7956" w:rsidRDefault="00267378" w:rsidP="00267378">
      <w:pPr>
        <w:pStyle w:val="JuSigned"/>
        <w:keepNext/>
        <w:keepLines/>
        <w:spacing w:before="0"/>
        <w:ind w:firstLine="284"/>
        <w:rPr>
          <w:rFonts w:ascii="Garamond" w:hAnsi="Garamond"/>
        </w:rPr>
      </w:pPr>
      <w:r w:rsidRPr="00CC7956">
        <w:rPr>
          <w:rFonts w:ascii="Garamond" w:hAnsi="Garamond"/>
        </w:rPr>
        <w:br/>
      </w:r>
    </w:p>
    <w:p w14:paraId="52DF7E1A" w14:textId="77777777" w:rsidR="00267378" w:rsidRDefault="00267378" w:rsidP="000F3AED"/>
    <w:p w14:paraId="69C8B614" w14:textId="32B061B0" w:rsidR="000F74B6" w:rsidRPr="000F3AED" w:rsidRDefault="000F74B6" w:rsidP="000F3AED"/>
    <w:sectPr w:rsidR="000F74B6" w:rsidRPr="000F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A9"/>
    <w:rsid w:val="00031987"/>
    <w:rsid w:val="00032ECB"/>
    <w:rsid w:val="00076632"/>
    <w:rsid w:val="000B5ED1"/>
    <w:rsid w:val="000F3AED"/>
    <w:rsid w:val="000F74B6"/>
    <w:rsid w:val="00267378"/>
    <w:rsid w:val="002C07A9"/>
    <w:rsid w:val="00305BC7"/>
    <w:rsid w:val="00336573"/>
    <w:rsid w:val="0039086F"/>
    <w:rsid w:val="00420FCC"/>
    <w:rsid w:val="00495544"/>
    <w:rsid w:val="00516EA9"/>
    <w:rsid w:val="00570EFA"/>
    <w:rsid w:val="005B5F43"/>
    <w:rsid w:val="00604A49"/>
    <w:rsid w:val="006B13B4"/>
    <w:rsid w:val="006F12A0"/>
    <w:rsid w:val="00773B43"/>
    <w:rsid w:val="007A461B"/>
    <w:rsid w:val="0080398C"/>
    <w:rsid w:val="00810BF2"/>
    <w:rsid w:val="008B64D5"/>
    <w:rsid w:val="008C7EE7"/>
    <w:rsid w:val="009945C3"/>
    <w:rsid w:val="00AD6F91"/>
    <w:rsid w:val="00B27876"/>
    <w:rsid w:val="00C22A1E"/>
    <w:rsid w:val="00C472E1"/>
    <w:rsid w:val="00C64E7A"/>
    <w:rsid w:val="00CD0F78"/>
    <w:rsid w:val="00D37D67"/>
    <w:rsid w:val="00E63AB8"/>
    <w:rsid w:val="00EA3D11"/>
    <w:rsid w:val="00EB69DB"/>
    <w:rsid w:val="00F23FBB"/>
    <w:rsid w:val="00F248C6"/>
    <w:rsid w:val="00FB4067"/>
    <w:rsid w:val="00FB703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A315"/>
  <w15:chartTrackingRefBased/>
  <w15:docId w15:val="{8F7B1634-5AC3-4D73-B230-60BB9C26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3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3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3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3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267378"/>
    <w:pPr>
      <w:tabs>
        <w:tab w:val="center" w:pos="1418"/>
        <w:tab w:val="center" w:pos="5954"/>
      </w:tabs>
      <w:spacing w:before="720" w:after="0" w:line="240" w:lineRule="auto"/>
    </w:pPr>
    <w:rPr>
      <w:rFonts w:eastAsiaTheme="minorHAnsi"/>
      <w:sz w:val="24"/>
      <w:szCs w:val="24"/>
      <w:lang w:val="sq-AL"/>
    </w:rPr>
  </w:style>
  <w:style w:type="paragraph" w:customStyle="1" w:styleId="JuPara">
    <w:name w:val="Ju_Para"/>
    <w:aliases w:val="_Para"/>
    <w:basedOn w:val="Normal"/>
    <w:link w:val="JuParaChar"/>
    <w:uiPriority w:val="4"/>
    <w:qFormat/>
    <w:rsid w:val="00267378"/>
    <w:pPr>
      <w:spacing w:after="0" w:line="240" w:lineRule="auto"/>
      <w:ind w:firstLine="284"/>
      <w:jc w:val="both"/>
    </w:pPr>
    <w:rPr>
      <w:rFonts w:eastAsiaTheme="minorHAnsi"/>
      <w:sz w:val="24"/>
      <w:szCs w:val="24"/>
      <w:lang w:val="sq-AL"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267378"/>
    <w:pPr>
      <w:numPr>
        <w:numId w:val="1"/>
      </w:numPr>
      <w:spacing w:before="100" w:beforeAutospacing="1" w:after="240" w:line="240" w:lineRule="auto"/>
      <w:jc w:val="both"/>
    </w:pPr>
    <w:rPr>
      <w:bCs/>
      <w:caps/>
      <w:color w:val="auto"/>
      <w:sz w:val="28"/>
      <w:szCs w:val="28"/>
      <w:lang w:val="sq-AL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267378"/>
    <w:pPr>
      <w:numPr>
        <w:ilvl w:val="1"/>
        <w:numId w:val="1"/>
      </w:numPr>
      <w:tabs>
        <w:tab w:val="num" w:pos="360"/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 w:line="240" w:lineRule="auto"/>
      <w:ind w:left="0" w:firstLine="0"/>
      <w:jc w:val="both"/>
    </w:pPr>
    <w:rPr>
      <w:bCs/>
      <w:caps/>
      <w:color w:val="auto"/>
      <w:sz w:val="24"/>
      <w:lang w:val="sq-AL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267378"/>
    <w:pPr>
      <w:numPr>
        <w:ilvl w:val="2"/>
        <w:numId w:val="1"/>
      </w:numPr>
      <w:tabs>
        <w:tab w:val="num" w:pos="360"/>
      </w:tabs>
      <w:spacing w:before="100" w:beforeAutospacing="1" w:after="240" w:line="240" w:lineRule="auto"/>
      <w:ind w:left="0" w:firstLine="0"/>
      <w:jc w:val="both"/>
    </w:pPr>
    <w:rPr>
      <w:b/>
      <w:bCs/>
      <w:color w:val="auto"/>
      <w:szCs w:val="22"/>
      <w:lang w:val="sq-AL"/>
    </w:rPr>
  </w:style>
  <w:style w:type="paragraph" w:customStyle="1" w:styleId="JuH1">
    <w:name w:val="Ju_H_1."/>
    <w:aliases w:val="_Head_4"/>
    <w:basedOn w:val="Heading4"/>
    <w:next w:val="JuPara"/>
    <w:uiPriority w:val="17"/>
    <w:rsid w:val="00267378"/>
    <w:pPr>
      <w:numPr>
        <w:ilvl w:val="3"/>
        <w:numId w:val="1"/>
      </w:numPr>
      <w:tabs>
        <w:tab w:val="num" w:pos="360"/>
      </w:tabs>
      <w:spacing w:before="100" w:beforeAutospacing="1" w:after="120" w:line="240" w:lineRule="auto"/>
      <w:ind w:left="0" w:firstLine="0"/>
      <w:jc w:val="both"/>
    </w:pPr>
    <w:rPr>
      <w:bCs/>
      <w:color w:val="auto"/>
      <w:sz w:val="24"/>
      <w:lang w:val="sq-AL"/>
    </w:rPr>
  </w:style>
  <w:style w:type="paragraph" w:customStyle="1" w:styleId="JuHa0">
    <w:name w:val="Ju_H_a"/>
    <w:aliases w:val="_Head_5"/>
    <w:basedOn w:val="Heading5"/>
    <w:next w:val="JuPara"/>
    <w:uiPriority w:val="17"/>
    <w:rsid w:val="00267378"/>
    <w:pPr>
      <w:numPr>
        <w:ilvl w:val="4"/>
        <w:numId w:val="1"/>
      </w:numPr>
      <w:tabs>
        <w:tab w:val="num" w:pos="360"/>
      </w:tabs>
      <w:spacing w:before="100" w:beforeAutospacing="1" w:after="120" w:line="240" w:lineRule="auto"/>
      <w:ind w:left="0" w:firstLine="0"/>
      <w:jc w:val="both"/>
    </w:pPr>
    <w:rPr>
      <w:b/>
      <w:bCs/>
      <w:color w:val="auto"/>
      <w:sz w:val="20"/>
      <w:lang w:val="sq-AL"/>
    </w:rPr>
  </w:style>
  <w:style w:type="paragraph" w:customStyle="1" w:styleId="JuHi">
    <w:name w:val="Ju_H_i"/>
    <w:aliases w:val="_Head_6"/>
    <w:basedOn w:val="Heading6"/>
    <w:next w:val="JuPara"/>
    <w:uiPriority w:val="17"/>
    <w:rsid w:val="00267378"/>
    <w:pPr>
      <w:numPr>
        <w:ilvl w:val="5"/>
        <w:numId w:val="1"/>
      </w:numPr>
      <w:tabs>
        <w:tab w:val="num" w:pos="360"/>
        <w:tab w:val="left" w:pos="1077"/>
        <w:tab w:val="left" w:pos="1134"/>
        <w:tab w:val="left" w:pos="1191"/>
        <w:tab w:val="left" w:pos="1247"/>
      </w:tabs>
      <w:spacing w:before="100" w:beforeAutospacing="1" w:after="120" w:line="271" w:lineRule="auto"/>
      <w:ind w:left="0" w:firstLine="0"/>
      <w:jc w:val="both"/>
    </w:pPr>
    <w:rPr>
      <w:bCs/>
      <w:i/>
      <w:iCs/>
      <w:color w:val="auto"/>
      <w:sz w:val="20"/>
      <w:lang w:val="sq-AL" w:bidi="en-US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267378"/>
    <w:pPr>
      <w:numPr>
        <w:ilvl w:val="6"/>
        <w:numId w:val="1"/>
      </w:numPr>
      <w:tabs>
        <w:tab w:val="num" w:pos="360"/>
        <w:tab w:val="left" w:pos="1361"/>
      </w:tabs>
      <w:spacing w:before="100" w:beforeAutospacing="1" w:after="120" w:line="240" w:lineRule="auto"/>
      <w:ind w:left="0" w:firstLine="0"/>
      <w:jc w:val="both"/>
    </w:pPr>
    <w:rPr>
      <w:i w:val="0"/>
      <w:color w:val="auto"/>
      <w:sz w:val="20"/>
      <w:lang w:val="sq-AL" w:bidi="en-US"/>
    </w:rPr>
  </w:style>
  <w:style w:type="paragraph" w:customStyle="1" w:styleId="JuH">
    <w:name w:val="Ju_H_–"/>
    <w:aliases w:val="_Head_8"/>
    <w:basedOn w:val="Heading8"/>
    <w:next w:val="JuPara"/>
    <w:uiPriority w:val="17"/>
    <w:rsid w:val="00267378"/>
    <w:pPr>
      <w:numPr>
        <w:ilvl w:val="7"/>
        <w:numId w:val="1"/>
      </w:numPr>
      <w:tabs>
        <w:tab w:val="num" w:pos="360"/>
      </w:tabs>
      <w:spacing w:before="100" w:beforeAutospacing="1" w:after="120" w:line="240" w:lineRule="auto"/>
      <w:ind w:left="0" w:firstLine="0"/>
      <w:jc w:val="both"/>
    </w:pPr>
    <w:rPr>
      <w:i/>
      <w:color w:val="auto"/>
      <w:sz w:val="20"/>
      <w:szCs w:val="20"/>
      <w:lang w:val="sq-AL" w:bidi="en-US"/>
    </w:rPr>
  </w:style>
  <w:style w:type="paragraph" w:customStyle="1" w:styleId="JuJudges">
    <w:name w:val="Ju_Judges"/>
    <w:aliases w:val="_Judges"/>
    <w:basedOn w:val="Normal"/>
    <w:uiPriority w:val="32"/>
    <w:qFormat/>
    <w:rsid w:val="00267378"/>
    <w:pPr>
      <w:tabs>
        <w:tab w:val="left" w:pos="567"/>
        <w:tab w:val="left" w:pos="1134"/>
      </w:tabs>
      <w:spacing w:after="0" w:line="240" w:lineRule="auto"/>
    </w:pPr>
    <w:rPr>
      <w:rFonts w:eastAsiaTheme="minorHAnsi"/>
      <w:sz w:val="24"/>
      <w:szCs w:val="24"/>
      <w:lang w:val="sq-AL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267378"/>
    <w:pPr>
      <w:numPr>
        <w:ilvl w:val="8"/>
        <w:numId w:val="1"/>
      </w:numPr>
      <w:tabs>
        <w:tab w:val="num" w:pos="360"/>
      </w:tabs>
      <w:spacing w:before="100" w:beforeAutospacing="1" w:line="240" w:lineRule="auto"/>
      <w:ind w:left="0" w:firstLine="0"/>
      <w:contextualSpacing/>
      <w:jc w:val="both"/>
    </w:pPr>
    <w:rPr>
      <w:i w:val="0"/>
      <w:color w:val="auto"/>
      <w:spacing w:val="5"/>
      <w:sz w:val="18"/>
      <w:szCs w:val="20"/>
      <w:lang w:val="sq-AL" w:bidi="en-US"/>
    </w:rPr>
  </w:style>
  <w:style w:type="character" w:customStyle="1" w:styleId="JuParaChar">
    <w:name w:val="Ju_Para Char"/>
    <w:aliases w:val="_Para Char"/>
    <w:link w:val="JuPara"/>
    <w:uiPriority w:val="4"/>
    <w:rsid w:val="00267378"/>
    <w:rPr>
      <w:rFonts w:eastAsiaTheme="minorHAnsi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3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3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3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3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3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3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3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67378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267378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numbering" w:styleId="111111">
    <w:name w:val="Outline List 2"/>
    <w:basedOn w:val="NoList"/>
    <w:uiPriority w:val="99"/>
    <w:semiHidden/>
    <w:unhideWhenUsed/>
    <w:rsid w:val="00267378"/>
    <w:pPr>
      <w:numPr>
        <w:numId w:val="2"/>
      </w:numPr>
    </w:pPr>
  </w:style>
  <w:style w:type="table" w:styleId="TableGrid">
    <w:name w:val="Table Grid"/>
    <w:basedOn w:val="TableNormal"/>
    <w:uiPriority w:val="39"/>
    <w:rsid w:val="0026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75984-11</Nr_x002e__x0020_akti>
    <Data_x0020_e_x0020_Krijimit xmlns="0e656187-b300-4fb0-8bf4-3a50f872073c">2024-05-14T09:13:18Z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2024-05-13T00:00:00Z</Date_x0020_protokolli>
    <Titulli xmlns="0e656187-b300-4fb0-8bf4-3a50f872073c">Çështja Gëzim Boçari kundër Shqipërisë</Titulli>
    <Modifikuesi xmlns="0e656187-b300-4fb0-8bf4-3a50f872073c">jorina.kryeziu</Modifikuesi>
    <Nr_x002e__x0020_prot_x0020_QBZ xmlns="0e656187-b300-4fb0-8bf4-3a50f872073c">839/1</Nr_x002e__x0020_prot_x0020_QBZ>
    <Data_x0020_e_x0020_Modifikimit xmlns="0e656187-b300-4fb0-8bf4-3a50f872073c">2024-05-15T07:39:31Z</Data_x0020_e_x0020_Modifikimit>
    <Dekretuar xmlns="0e656187-b300-4fb0-8bf4-3a50f872073c">false</Dekretuar>
    <Data xmlns="0e656187-b300-4fb0-8bf4-3a50f872073c">2024-04-11T00:00:00Z</Data>
    <Nr_x002e__x0020_protokolli_x0020_i_x0020_aktit xmlns="0e656187-b300-4fb0-8bf4-3a50f872073c">2206/1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FACABCF5A5CF4ACDBFFB4D899B411F1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FACABCF5A5CF4ACDBFFB4D899B411F12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92F07-28A2-4044-884E-79E3B3B866E3}">
  <ds:schemaRefs>
    <ds:schemaRef ds:uri="0e656187-b300-4fb0-8bf4-3a50f872073c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2E6C4F-7C4E-48F0-8AFF-D4B8C05CB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2B495-8FA0-44EC-90C8-CCEF397AD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6A338C9-2A89-4551-92C6-C1BECD7E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A141FCE-AFC4-4C19-9AD3-2BB29BFCF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Gëzim Boçari kundër Shqipërisë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Gëzim Boçari kundër Shqipërisë</dc:title>
  <dc:creator>Entela Suli</dc:creator>
  <cp:lastModifiedBy>Amarilda Muja</cp:lastModifiedBy>
  <cp:revision>15</cp:revision>
  <dcterms:created xsi:type="dcterms:W3CDTF">2024-05-14T08:09:00Z</dcterms:created>
  <dcterms:modified xsi:type="dcterms:W3CDTF">2024-05-15T11:40:00Z</dcterms:modified>
</cp:coreProperties>
</file>