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FBC39" w14:textId="77777777" w:rsidR="0056324B" w:rsidRPr="00934914" w:rsidRDefault="00934914" w:rsidP="00934914">
      <w:pPr>
        <w:spacing w:after="0" w:line="240" w:lineRule="auto"/>
        <w:ind w:firstLine="284"/>
        <w:jc w:val="center"/>
        <w:rPr>
          <w:rFonts w:ascii="Garamond" w:hAnsi="Garamond" w:cs="Garamond"/>
          <w:color w:val="000000"/>
          <w:sz w:val="24"/>
          <w:szCs w:val="24"/>
          <w:lang w:val="sq-AL"/>
        </w:rPr>
      </w:pPr>
      <w:r w:rsidRPr="00934914">
        <w:rPr>
          <w:rFonts w:ascii="Garamond" w:hAnsi="Garamond" w:cs="Garamond"/>
          <w:color w:val="000000"/>
          <w:sz w:val="24"/>
          <w:szCs w:val="24"/>
          <w:lang w:val="sq-AL"/>
        </w:rPr>
        <w:t>GJYKATA EVROPIANE E TË DREJTAVE TË NJERIUT</w:t>
      </w:r>
    </w:p>
    <w:p w14:paraId="70C752AA" w14:textId="77777777" w:rsidR="00004ACD" w:rsidRPr="00934914" w:rsidRDefault="00004ACD" w:rsidP="00E80544">
      <w:pPr>
        <w:keepNext/>
        <w:keepLines/>
        <w:autoSpaceDE w:val="0"/>
        <w:autoSpaceDN w:val="0"/>
        <w:adjustRightInd w:val="0"/>
        <w:spacing w:after="0" w:line="240" w:lineRule="auto"/>
        <w:ind w:firstLine="284"/>
        <w:jc w:val="center"/>
        <w:rPr>
          <w:rFonts w:ascii="Garamond" w:hAnsi="Garamond" w:cs="Garamond"/>
          <w:color w:val="000000"/>
          <w:sz w:val="24"/>
          <w:szCs w:val="24"/>
          <w:lang w:val="sq-AL"/>
        </w:rPr>
      </w:pPr>
      <w:r w:rsidRPr="00934914">
        <w:rPr>
          <w:rFonts w:ascii="Garamond" w:hAnsi="Garamond" w:cs="Garamond"/>
          <w:color w:val="000000"/>
          <w:sz w:val="24"/>
          <w:szCs w:val="24"/>
          <w:lang w:val="sq-AL"/>
        </w:rPr>
        <w:t>SEKSIONI I TRETË</w:t>
      </w:r>
    </w:p>
    <w:p w14:paraId="29BB2996" w14:textId="77777777" w:rsidR="00004ACD" w:rsidRPr="00934914" w:rsidRDefault="00004ACD" w:rsidP="00E80544">
      <w:pPr>
        <w:keepNext/>
        <w:autoSpaceDE w:val="0"/>
        <w:autoSpaceDN w:val="0"/>
        <w:adjustRightInd w:val="0"/>
        <w:spacing w:after="0" w:line="240" w:lineRule="auto"/>
        <w:ind w:firstLine="284"/>
        <w:jc w:val="center"/>
        <w:rPr>
          <w:rFonts w:ascii="Garamond" w:hAnsi="Garamond" w:cs="Garamond"/>
          <w:b/>
          <w:bCs/>
          <w:color w:val="000000"/>
          <w:sz w:val="24"/>
          <w:szCs w:val="24"/>
          <w:lang w:val="sq-AL"/>
        </w:rPr>
      </w:pPr>
    </w:p>
    <w:p w14:paraId="0C3733A4" w14:textId="77777777" w:rsidR="00004ACD" w:rsidRPr="00934914" w:rsidRDefault="00004ACD" w:rsidP="00E80544">
      <w:pPr>
        <w:keepNext/>
        <w:autoSpaceDE w:val="0"/>
        <w:autoSpaceDN w:val="0"/>
        <w:adjustRightInd w:val="0"/>
        <w:spacing w:after="0" w:line="240" w:lineRule="auto"/>
        <w:ind w:firstLine="284"/>
        <w:jc w:val="center"/>
        <w:rPr>
          <w:rFonts w:ascii="Garamond" w:hAnsi="Garamond" w:cs="Garamond"/>
          <w:b/>
          <w:bCs/>
          <w:color w:val="000000"/>
          <w:sz w:val="24"/>
          <w:szCs w:val="24"/>
          <w:lang w:val="sq-AL"/>
        </w:rPr>
      </w:pPr>
      <w:r w:rsidRPr="00934914">
        <w:rPr>
          <w:rFonts w:ascii="Garamond" w:hAnsi="Garamond" w:cs="Garamond"/>
          <w:b/>
          <w:bCs/>
          <w:color w:val="000000"/>
          <w:sz w:val="24"/>
          <w:szCs w:val="24"/>
          <w:lang w:val="sq-AL"/>
        </w:rPr>
        <w:t xml:space="preserve">ÇËSHTJA </w:t>
      </w:r>
      <w:proofErr w:type="spellStart"/>
      <w:r w:rsidRPr="00934914">
        <w:rPr>
          <w:rFonts w:ascii="Garamond" w:hAnsi="Garamond" w:cs="Garamond"/>
          <w:b/>
          <w:bCs/>
          <w:color w:val="000000"/>
          <w:sz w:val="24"/>
          <w:szCs w:val="24"/>
          <w:lang w:val="sq-AL"/>
        </w:rPr>
        <w:t>JELLA</w:t>
      </w:r>
      <w:proofErr w:type="spellEnd"/>
      <w:r w:rsidRPr="00934914">
        <w:rPr>
          <w:rFonts w:ascii="Garamond" w:hAnsi="Garamond" w:cs="Garamond"/>
          <w:b/>
          <w:bCs/>
          <w:color w:val="000000"/>
          <w:sz w:val="24"/>
          <w:szCs w:val="24"/>
          <w:lang w:val="sq-AL"/>
        </w:rPr>
        <w:t xml:space="preserve"> DHE TË TJERË KUNDËR SHQIPËRISË</w:t>
      </w:r>
    </w:p>
    <w:p w14:paraId="3CC4CD61" w14:textId="77777777" w:rsidR="00004ACD" w:rsidRPr="00934914" w:rsidRDefault="00004ACD" w:rsidP="00E80544">
      <w:pPr>
        <w:keepNext/>
        <w:tabs>
          <w:tab w:val="right" w:pos="7920"/>
        </w:tabs>
        <w:autoSpaceDE w:val="0"/>
        <w:autoSpaceDN w:val="0"/>
        <w:adjustRightInd w:val="0"/>
        <w:spacing w:after="0" w:line="240" w:lineRule="auto"/>
        <w:ind w:firstLine="284"/>
        <w:jc w:val="center"/>
        <w:rPr>
          <w:rFonts w:ascii="Garamond" w:hAnsi="Garamond" w:cs="Garamond"/>
          <w:i/>
          <w:iCs/>
          <w:color w:val="000000"/>
          <w:sz w:val="24"/>
          <w:szCs w:val="24"/>
          <w:lang w:val="sq-AL"/>
        </w:rPr>
      </w:pPr>
      <w:r w:rsidRPr="00934914">
        <w:rPr>
          <w:rFonts w:ascii="Garamond" w:hAnsi="Garamond" w:cs="Garamond"/>
          <w:i/>
          <w:iCs/>
          <w:color w:val="000000"/>
          <w:sz w:val="24"/>
          <w:szCs w:val="24"/>
          <w:lang w:val="sq-AL"/>
        </w:rPr>
        <w:t>(Kërkesa nr. 7564/07)</w:t>
      </w:r>
    </w:p>
    <w:p w14:paraId="6507E1EB" w14:textId="77777777" w:rsidR="00004ACD" w:rsidRPr="00934914" w:rsidRDefault="00004ACD" w:rsidP="00E80544">
      <w:pPr>
        <w:keepNext/>
        <w:autoSpaceDE w:val="0"/>
        <w:autoSpaceDN w:val="0"/>
        <w:adjustRightInd w:val="0"/>
        <w:spacing w:after="0" w:line="240" w:lineRule="auto"/>
        <w:ind w:firstLine="284"/>
        <w:jc w:val="center"/>
        <w:rPr>
          <w:rFonts w:ascii="Garamond" w:hAnsi="Garamond" w:cs="Garamond"/>
          <w:color w:val="000000"/>
          <w:sz w:val="24"/>
          <w:szCs w:val="24"/>
          <w:lang w:val="sq-AL"/>
        </w:rPr>
      </w:pPr>
    </w:p>
    <w:p w14:paraId="1850E6F7" w14:textId="4F3A19BD" w:rsidR="003A07E3" w:rsidRPr="00934914" w:rsidRDefault="00004ACD" w:rsidP="00E80544">
      <w:pPr>
        <w:keepNext/>
        <w:autoSpaceDE w:val="0"/>
        <w:autoSpaceDN w:val="0"/>
        <w:adjustRightInd w:val="0"/>
        <w:spacing w:after="0" w:line="240" w:lineRule="auto"/>
        <w:ind w:firstLine="284"/>
        <w:jc w:val="center"/>
        <w:rPr>
          <w:rFonts w:ascii="Garamond" w:hAnsi="Garamond" w:cs="Garamond"/>
          <w:color w:val="000000"/>
          <w:sz w:val="24"/>
          <w:szCs w:val="24"/>
          <w:lang w:val="sq-AL"/>
        </w:rPr>
      </w:pPr>
      <w:r w:rsidRPr="00934914">
        <w:rPr>
          <w:rFonts w:ascii="Garamond" w:hAnsi="Garamond" w:cs="Garamond"/>
          <w:color w:val="000000"/>
          <w:sz w:val="24"/>
          <w:szCs w:val="24"/>
          <w:lang w:val="sq-AL"/>
        </w:rPr>
        <w:t>VENDIM</w:t>
      </w:r>
    </w:p>
    <w:p w14:paraId="490097E2" w14:textId="77777777" w:rsidR="00004ACD" w:rsidRPr="00934914" w:rsidRDefault="00004ACD" w:rsidP="00E80544">
      <w:pPr>
        <w:keepNext/>
        <w:autoSpaceDE w:val="0"/>
        <w:autoSpaceDN w:val="0"/>
        <w:adjustRightInd w:val="0"/>
        <w:spacing w:after="0" w:line="240" w:lineRule="auto"/>
        <w:ind w:firstLine="284"/>
        <w:jc w:val="center"/>
        <w:rPr>
          <w:rFonts w:ascii="Garamond" w:hAnsi="Garamond" w:cs="Garamond"/>
          <w:color w:val="000000"/>
          <w:sz w:val="24"/>
          <w:szCs w:val="24"/>
          <w:lang w:val="sq-AL"/>
        </w:rPr>
      </w:pPr>
      <w:r w:rsidRPr="00934914">
        <w:rPr>
          <w:rFonts w:ascii="Garamond" w:hAnsi="Garamond" w:cs="Garamond"/>
          <w:color w:val="000000"/>
          <w:sz w:val="24"/>
          <w:szCs w:val="24"/>
          <w:lang w:val="sq-AL"/>
        </w:rPr>
        <w:t>STRASBURG</w:t>
      </w:r>
    </w:p>
    <w:p w14:paraId="36CF85AE" w14:textId="77777777" w:rsidR="00004ACD" w:rsidRPr="00934914" w:rsidRDefault="00004ACD" w:rsidP="00E80544">
      <w:pPr>
        <w:keepNext/>
        <w:autoSpaceDE w:val="0"/>
        <w:autoSpaceDN w:val="0"/>
        <w:adjustRightInd w:val="0"/>
        <w:spacing w:after="0" w:line="240" w:lineRule="auto"/>
        <w:ind w:firstLine="284"/>
        <w:jc w:val="center"/>
        <w:rPr>
          <w:rFonts w:ascii="Garamond" w:hAnsi="Garamond" w:cs="Garamond"/>
          <w:color w:val="000000"/>
          <w:sz w:val="24"/>
          <w:szCs w:val="24"/>
          <w:lang w:val="sq-AL"/>
        </w:rPr>
      </w:pPr>
      <w:r w:rsidRPr="00934914">
        <w:rPr>
          <w:rFonts w:ascii="Garamond" w:hAnsi="Garamond" w:cs="Garamond"/>
          <w:color w:val="000000"/>
          <w:sz w:val="24"/>
          <w:szCs w:val="24"/>
          <w:lang w:val="sq-AL"/>
        </w:rPr>
        <w:t>5 mars 2024</w:t>
      </w:r>
    </w:p>
    <w:p w14:paraId="5248301D" w14:textId="77777777" w:rsidR="00004ACD" w:rsidRPr="00934914" w:rsidRDefault="00004ACD" w:rsidP="00E80544">
      <w:pPr>
        <w:autoSpaceDE w:val="0"/>
        <w:autoSpaceDN w:val="0"/>
        <w:adjustRightInd w:val="0"/>
        <w:spacing w:after="0" w:line="240" w:lineRule="auto"/>
        <w:ind w:firstLine="284"/>
        <w:jc w:val="center"/>
        <w:rPr>
          <w:rFonts w:ascii="Garamond" w:hAnsi="Garamond" w:cs="Garamond"/>
          <w:color w:val="000000"/>
          <w:sz w:val="24"/>
          <w:szCs w:val="24"/>
          <w:lang w:val="sq-AL"/>
        </w:rPr>
      </w:pPr>
    </w:p>
    <w:p w14:paraId="366AA273" w14:textId="77777777" w:rsidR="00004ACD" w:rsidRPr="00934914" w:rsidRDefault="00004ACD" w:rsidP="00E80544">
      <w:pPr>
        <w:autoSpaceDE w:val="0"/>
        <w:autoSpaceDN w:val="0"/>
        <w:adjustRightInd w:val="0"/>
        <w:spacing w:after="0" w:line="240" w:lineRule="auto"/>
        <w:ind w:firstLine="284"/>
        <w:jc w:val="both"/>
        <w:rPr>
          <w:rFonts w:ascii="Garamond" w:hAnsi="Garamond" w:cs="Garamond"/>
          <w:i/>
          <w:iCs/>
          <w:color w:val="000000"/>
          <w:sz w:val="24"/>
          <w:szCs w:val="24"/>
          <w:lang w:val="sq-AL"/>
        </w:rPr>
      </w:pPr>
      <w:r w:rsidRPr="00934914">
        <w:rPr>
          <w:rFonts w:ascii="Garamond" w:hAnsi="Garamond" w:cs="Garamond"/>
          <w:i/>
          <w:iCs/>
          <w:color w:val="000000"/>
          <w:sz w:val="24"/>
          <w:szCs w:val="24"/>
          <w:lang w:val="sq-AL"/>
        </w:rPr>
        <w:t>Ky është vendim përfundimtar, por mund t’i nënshtrohet rishikimit redaktorial.</w:t>
      </w:r>
    </w:p>
    <w:p w14:paraId="33E6EE6B" w14:textId="77777777" w:rsidR="00004ACD" w:rsidRPr="00934914" w:rsidRDefault="00004ACD" w:rsidP="00E80544">
      <w:pPr>
        <w:autoSpaceDE w:val="0"/>
        <w:autoSpaceDN w:val="0"/>
        <w:adjustRightInd w:val="0"/>
        <w:spacing w:after="0" w:line="240" w:lineRule="auto"/>
        <w:ind w:firstLine="284"/>
        <w:jc w:val="both"/>
        <w:rPr>
          <w:rFonts w:ascii="Garamond" w:hAnsi="Garamond" w:cs="Garamond"/>
          <w:b/>
          <w:bCs/>
          <w:color w:val="000000"/>
          <w:sz w:val="24"/>
          <w:szCs w:val="24"/>
          <w:lang w:val="sq-AL"/>
        </w:rPr>
      </w:pPr>
    </w:p>
    <w:p w14:paraId="3D555424"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b/>
          <w:bCs/>
          <w:color w:val="000000"/>
          <w:sz w:val="24"/>
          <w:szCs w:val="24"/>
          <w:lang w:val="sq-AL"/>
        </w:rPr>
      </w:pPr>
      <w:r w:rsidRPr="00934914">
        <w:rPr>
          <w:rFonts w:ascii="Garamond" w:hAnsi="Garamond" w:cs="Garamond"/>
          <w:b/>
          <w:bCs/>
          <w:color w:val="000000"/>
          <w:sz w:val="24"/>
          <w:szCs w:val="24"/>
          <w:lang w:val="sq-AL"/>
        </w:rPr>
        <w:t xml:space="preserve">Në çështjen </w:t>
      </w:r>
      <w:proofErr w:type="spellStart"/>
      <w:r w:rsidRPr="00934914">
        <w:rPr>
          <w:rFonts w:ascii="Garamond" w:hAnsi="Garamond" w:cs="Garamond"/>
          <w:b/>
          <w:bCs/>
          <w:color w:val="000000"/>
          <w:sz w:val="24"/>
          <w:szCs w:val="24"/>
          <w:lang w:val="sq-AL"/>
        </w:rPr>
        <w:t>Jella</w:t>
      </w:r>
      <w:proofErr w:type="spellEnd"/>
      <w:r w:rsidRPr="00934914">
        <w:rPr>
          <w:rFonts w:ascii="Garamond" w:hAnsi="Garamond" w:cs="Garamond"/>
          <w:b/>
          <w:bCs/>
          <w:color w:val="000000"/>
          <w:sz w:val="24"/>
          <w:szCs w:val="24"/>
          <w:lang w:val="sq-AL"/>
        </w:rPr>
        <w:t xml:space="preserve"> dhe të tjerë kundër Shqipërisë </w:t>
      </w:r>
    </w:p>
    <w:p w14:paraId="0D89B7AE" w14:textId="2FE06533"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Gjykata </w:t>
      </w:r>
      <w:r w:rsidRPr="00934914">
        <w:rPr>
          <w:rFonts w:ascii="Garamond" w:hAnsi="Garamond" w:cs="Garamond"/>
          <w:color w:val="000000"/>
          <w:sz w:val="24"/>
          <w:szCs w:val="24"/>
          <w:lang w:val="sq-AL"/>
        </w:rPr>
        <w:t>E</w:t>
      </w:r>
      <w:r w:rsidR="00934914" w:rsidRPr="00934914">
        <w:rPr>
          <w:rFonts w:ascii="Garamond" w:hAnsi="Garamond" w:cs="Garamond"/>
          <w:color w:val="000000"/>
          <w:sz w:val="24"/>
          <w:szCs w:val="24"/>
          <w:lang w:val="sq-AL"/>
        </w:rPr>
        <w:t>v</w:t>
      </w:r>
      <w:r w:rsidRPr="00934914">
        <w:rPr>
          <w:rFonts w:ascii="Garamond" w:hAnsi="Garamond" w:cs="Garamond"/>
          <w:color w:val="000000"/>
          <w:sz w:val="24"/>
          <w:szCs w:val="24"/>
          <w:lang w:val="sq-AL"/>
        </w:rPr>
        <w:t>ropiane</w:t>
      </w:r>
      <w:r w:rsidRPr="00934914">
        <w:rPr>
          <w:rFonts w:ascii="Garamond" w:hAnsi="Garamond" w:cs="Garamond"/>
          <w:color w:val="000000"/>
          <w:sz w:val="24"/>
          <w:szCs w:val="24"/>
          <w:lang w:val="sq-AL"/>
        </w:rPr>
        <w:t xml:space="preserve"> e të Drejtave të Njeriut (Seksioni i Tretë), e mbledhur si Komitet i përbërë nga:</w:t>
      </w:r>
    </w:p>
    <w:p w14:paraId="77585670" w14:textId="77777777" w:rsidR="00004ACD" w:rsidRPr="00934914" w:rsidRDefault="00004ACD" w:rsidP="000E7DF4">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934914">
        <w:rPr>
          <w:rFonts w:ascii="Garamond" w:hAnsi="Garamond" w:cs="Garamond"/>
          <w:color w:val="000000"/>
          <w:sz w:val="24"/>
          <w:szCs w:val="24"/>
          <w:lang w:val="sq-AL"/>
        </w:rPr>
        <w:t>Georgios</w:t>
      </w:r>
      <w:proofErr w:type="spellEnd"/>
      <w:r w:rsidRPr="00934914">
        <w:rPr>
          <w:rFonts w:ascii="Garamond" w:hAnsi="Garamond" w:cs="Garamond"/>
          <w:color w:val="000000"/>
          <w:sz w:val="24"/>
          <w:szCs w:val="24"/>
          <w:lang w:val="sq-AL"/>
        </w:rPr>
        <w:t xml:space="preserve"> A. </w:t>
      </w:r>
      <w:proofErr w:type="spellStart"/>
      <w:r w:rsidRPr="00934914">
        <w:rPr>
          <w:rFonts w:ascii="Garamond" w:hAnsi="Garamond" w:cs="Garamond"/>
          <w:color w:val="000000"/>
          <w:sz w:val="24"/>
          <w:szCs w:val="24"/>
          <w:lang w:val="sq-AL"/>
        </w:rPr>
        <w:t>Serghides</w:t>
      </w:r>
      <w:proofErr w:type="spellEnd"/>
      <w:r w:rsidRPr="00934914">
        <w:rPr>
          <w:rFonts w:ascii="Garamond" w:hAnsi="Garamond" w:cs="Garamond"/>
          <w:i/>
          <w:iCs/>
          <w:color w:val="000000"/>
          <w:sz w:val="24"/>
          <w:szCs w:val="24"/>
          <w:lang w:val="sq-AL"/>
        </w:rPr>
        <w:t>, President</w:t>
      </w:r>
      <w:r w:rsidRPr="00934914">
        <w:rPr>
          <w:rFonts w:ascii="Garamond" w:hAnsi="Garamond" w:cs="Garamond"/>
          <w:color w:val="000000"/>
          <w:sz w:val="24"/>
          <w:szCs w:val="24"/>
          <w:lang w:val="sq-AL"/>
        </w:rPr>
        <w:t>,</w:t>
      </w:r>
    </w:p>
    <w:p w14:paraId="12F90ACA" w14:textId="77777777" w:rsidR="00004ACD" w:rsidRPr="00934914" w:rsidRDefault="00004ACD" w:rsidP="000E7DF4">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934914">
        <w:rPr>
          <w:rFonts w:ascii="Garamond" w:hAnsi="Garamond" w:cs="Garamond"/>
          <w:color w:val="000000"/>
          <w:sz w:val="24"/>
          <w:szCs w:val="24"/>
          <w:lang w:val="sq-AL"/>
        </w:rPr>
        <w:t>Darian</w:t>
      </w:r>
      <w:proofErr w:type="spellEnd"/>
      <w:r w:rsidRPr="00934914">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Pavli</w:t>
      </w:r>
      <w:proofErr w:type="spellEnd"/>
      <w:r w:rsidRPr="00934914">
        <w:rPr>
          <w:rFonts w:ascii="Garamond" w:hAnsi="Garamond" w:cs="Garamond"/>
          <w:color w:val="000000"/>
          <w:sz w:val="24"/>
          <w:szCs w:val="24"/>
          <w:lang w:val="sq-AL"/>
        </w:rPr>
        <w:t>,</w:t>
      </w:r>
    </w:p>
    <w:p w14:paraId="771FA3D9" w14:textId="77777777" w:rsidR="00004ACD" w:rsidRPr="00934914" w:rsidRDefault="00004ACD" w:rsidP="000E7DF4">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934914">
        <w:rPr>
          <w:rFonts w:ascii="Garamond" w:hAnsi="Garamond" w:cs="Garamond"/>
          <w:color w:val="000000"/>
          <w:sz w:val="24"/>
          <w:szCs w:val="24"/>
          <w:lang w:val="sq-AL"/>
        </w:rPr>
        <w:t>Oddný</w:t>
      </w:r>
      <w:proofErr w:type="spellEnd"/>
      <w:r w:rsidRPr="00934914">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Mjöll</w:t>
      </w:r>
      <w:proofErr w:type="spellEnd"/>
      <w:r w:rsidRPr="00934914">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Arnardóttir</w:t>
      </w:r>
      <w:proofErr w:type="spellEnd"/>
      <w:r w:rsidRPr="00934914">
        <w:rPr>
          <w:rFonts w:ascii="Garamond" w:hAnsi="Garamond" w:cs="Garamond"/>
          <w:i/>
          <w:iCs/>
          <w:color w:val="000000"/>
          <w:sz w:val="24"/>
          <w:szCs w:val="24"/>
          <w:lang w:val="sq-AL"/>
        </w:rPr>
        <w:t>, gjyqtarë</w:t>
      </w:r>
      <w:r w:rsidRPr="00934914">
        <w:rPr>
          <w:rFonts w:ascii="Garamond" w:hAnsi="Garamond" w:cs="Garamond"/>
          <w:color w:val="000000"/>
          <w:sz w:val="24"/>
          <w:szCs w:val="24"/>
          <w:lang w:val="sq-AL"/>
        </w:rPr>
        <w:t>,</w:t>
      </w:r>
    </w:p>
    <w:p w14:paraId="13DDAC14" w14:textId="4E9725B3" w:rsidR="00004ACD" w:rsidRPr="00934914" w:rsidRDefault="00004ACD" w:rsidP="000E7DF4">
      <w:pPr>
        <w:tabs>
          <w:tab w:val="left" w:pos="280"/>
          <w:tab w:val="left" w:pos="560"/>
          <w:tab w:val="left" w:pos="112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dhe </w:t>
      </w:r>
      <w:proofErr w:type="spellStart"/>
      <w:r w:rsidRPr="00934914">
        <w:rPr>
          <w:rFonts w:ascii="Garamond" w:hAnsi="Garamond" w:cs="Garamond"/>
          <w:color w:val="000000"/>
          <w:sz w:val="24"/>
          <w:szCs w:val="24"/>
          <w:lang w:val="sq-AL"/>
        </w:rPr>
        <w:t>Olga</w:t>
      </w:r>
      <w:proofErr w:type="spellEnd"/>
      <w:r w:rsidRPr="00934914">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Chernishova</w:t>
      </w:r>
      <w:proofErr w:type="spellEnd"/>
      <w:r w:rsidRPr="00934914">
        <w:rPr>
          <w:rFonts w:ascii="Garamond" w:hAnsi="Garamond" w:cs="Garamond"/>
          <w:color w:val="000000"/>
          <w:sz w:val="24"/>
          <w:szCs w:val="24"/>
          <w:lang w:val="sq-AL"/>
        </w:rPr>
        <w:t xml:space="preserve">, </w:t>
      </w:r>
      <w:proofErr w:type="spellStart"/>
      <w:r w:rsidR="00934914" w:rsidRPr="00934914">
        <w:rPr>
          <w:rFonts w:ascii="Garamond" w:hAnsi="Garamond" w:cs="Garamond"/>
          <w:i/>
          <w:iCs/>
          <w:color w:val="000000"/>
          <w:sz w:val="24"/>
          <w:szCs w:val="24"/>
          <w:lang w:val="sq-AL"/>
        </w:rPr>
        <w:t>zëvendëskancelare</w:t>
      </w:r>
      <w:proofErr w:type="spellEnd"/>
      <w:r w:rsidR="00934914" w:rsidRPr="00934914">
        <w:rPr>
          <w:rFonts w:ascii="Garamond" w:hAnsi="Garamond" w:cs="Garamond"/>
          <w:i/>
          <w:iCs/>
          <w:color w:val="000000"/>
          <w:sz w:val="24"/>
          <w:szCs w:val="24"/>
          <w:lang w:val="sq-AL"/>
        </w:rPr>
        <w:t xml:space="preserve"> </w:t>
      </w:r>
      <w:r w:rsidRPr="00934914">
        <w:rPr>
          <w:rFonts w:ascii="Garamond" w:hAnsi="Garamond" w:cs="Garamond"/>
          <w:i/>
          <w:iCs/>
          <w:color w:val="000000"/>
          <w:sz w:val="24"/>
          <w:szCs w:val="24"/>
          <w:lang w:val="sq-AL"/>
        </w:rPr>
        <w:t>e Seksionit,</w:t>
      </w:r>
    </w:p>
    <w:p w14:paraId="3A1F32A3" w14:textId="2DED168C" w:rsidR="00004ACD" w:rsidRPr="00934914" w:rsidRDefault="008E0E53"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Pr>
          <w:rFonts w:ascii="Garamond" w:hAnsi="Garamond" w:cs="Garamond"/>
          <w:color w:val="000000"/>
          <w:sz w:val="24"/>
          <w:szCs w:val="24"/>
          <w:lang w:val="sq-AL"/>
        </w:rPr>
        <w:t>d</w:t>
      </w:r>
      <w:r w:rsidR="00004ACD" w:rsidRPr="00934914">
        <w:rPr>
          <w:rFonts w:ascii="Garamond" w:hAnsi="Garamond" w:cs="Garamond"/>
          <w:color w:val="000000"/>
          <w:sz w:val="24"/>
          <w:szCs w:val="24"/>
          <w:lang w:val="sq-AL"/>
        </w:rPr>
        <w:t>uke pasur parasysh:</w:t>
      </w:r>
    </w:p>
    <w:p w14:paraId="59E679F8" w14:textId="178E2B82"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kërkesën (nr. 7564/07) kundër Republikës së Shqipërisë të depozituar në Gjykatë sipas nenit 34 të Konventës për Mbrojtjen e të Drejtave dhe Lirive Themelore të Njeriut (“Konventa</w:t>
      </w:r>
      <w:r w:rsidRPr="00934914">
        <w:rPr>
          <w:rFonts w:ascii="Garamond" w:hAnsi="Garamond" w:cs="Garamond"/>
          <w:color w:val="000000"/>
          <w:sz w:val="24"/>
          <w:szCs w:val="24"/>
          <w:lang w:val="sq-AL"/>
        </w:rPr>
        <w:t>”)</w:t>
      </w:r>
      <w:r w:rsidR="00934914">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 më 30 janar 2007 nga pesë shtetas shqiptarë (“kërkuesit”) të përfaqësuar nga </w:t>
      </w:r>
      <w:proofErr w:type="spellStart"/>
      <w:r w:rsidRPr="00934914">
        <w:rPr>
          <w:rFonts w:ascii="Garamond" w:hAnsi="Garamond" w:cs="Garamond"/>
          <w:color w:val="000000"/>
          <w:sz w:val="24"/>
          <w:szCs w:val="24"/>
          <w:lang w:val="sq-AL"/>
        </w:rPr>
        <w:t>znj</w:t>
      </w:r>
      <w:proofErr w:type="spellEnd"/>
      <w:r w:rsidRPr="00934914">
        <w:rPr>
          <w:rFonts w:ascii="Garamond" w:hAnsi="Garamond" w:cs="Garamond"/>
          <w:color w:val="000000"/>
          <w:sz w:val="24"/>
          <w:szCs w:val="24"/>
          <w:lang w:val="sq-AL"/>
        </w:rPr>
        <w:t xml:space="preserve">. E. Kurteshi dhe z. B. </w:t>
      </w:r>
      <w:proofErr w:type="spellStart"/>
      <w:r w:rsidRPr="00934914">
        <w:rPr>
          <w:rFonts w:ascii="Garamond" w:hAnsi="Garamond" w:cs="Garamond"/>
          <w:color w:val="000000"/>
          <w:sz w:val="24"/>
          <w:szCs w:val="24"/>
          <w:lang w:val="sq-AL"/>
        </w:rPr>
        <w:t>Boçari</w:t>
      </w:r>
      <w:proofErr w:type="spellEnd"/>
      <w:r w:rsidRPr="00934914">
        <w:rPr>
          <w:rFonts w:ascii="Garamond" w:hAnsi="Garamond" w:cs="Garamond"/>
          <w:color w:val="000000"/>
          <w:sz w:val="24"/>
          <w:szCs w:val="24"/>
          <w:lang w:val="sq-AL"/>
        </w:rPr>
        <w:t>, avokatë të licencuar në Tiranë;</w:t>
      </w:r>
    </w:p>
    <w:p w14:paraId="79E2085D" w14:textId="2380DBD8"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vendimin për të njoftuar për kërkesën Qeverinë e Shqipërisë (“Qeveria”) të përfaqësuar nga </w:t>
      </w:r>
      <w:r w:rsidR="00712EDE">
        <w:rPr>
          <w:rFonts w:ascii="Garamond" w:hAnsi="Garamond" w:cs="Garamond"/>
          <w:color w:val="000000"/>
          <w:sz w:val="24"/>
          <w:szCs w:val="24"/>
          <w:lang w:val="sq-AL"/>
        </w:rPr>
        <w:t>a</w:t>
      </w:r>
      <w:r w:rsidRPr="00934914">
        <w:rPr>
          <w:rFonts w:ascii="Garamond" w:hAnsi="Garamond" w:cs="Garamond"/>
          <w:color w:val="000000"/>
          <w:sz w:val="24"/>
          <w:szCs w:val="24"/>
          <w:lang w:val="sq-AL"/>
        </w:rPr>
        <w:t xml:space="preserve">gjentja në atë kohë </w:t>
      </w:r>
      <w:proofErr w:type="spellStart"/>
      <w:r w:rsidRPr="00934914">
        <w:rPr>
          <w:rFonts w:ascii="Garamond" w:hAnsi="Garamond" w:cs="Garamond"/>
          <w:color w:val="000000"/>
          <w:sz w:val="24"/>
          <w:szCs w:val="24"/>
          <w:lang w:val="sq-AL"/>
        </w:rPr>
        <w:t>znj</w:t>
      </w:r>
      <w:proofErr w:type="spellEnd"/>
      <w:r w:rsidRPr="00934914">
        <w:rPr>
          <w:rFonts w:ascii="Garamond" w:hAnsi="Garamond" w:cs="Garamond"/>
          <w:color w:val="000000"/>
          <w:sz w:val="24"/>
          <w:szCs w:val="24"/>
          <w:lang w:val="sq-AL"/>
        </w:rPr>
        <w:t>. E.</w:t>
      </w:r>
      <w:r w:rsidR="008E0E53">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Hajro</w:t>
      </w:r>
      <w:proofErr w:type="spellEnd"/>
      <w:r w:rsidRPr="00934914">
        <w:rPr>
          <w:rFonts w:ascii="Garamond" w:hAnsi="Garamond" w:cs="Garamond"/>
          <w:color w:val="000000"/>
          <w:sz w:val="24"/>
          <w:szCs w:val="24"/>
          <w:lang w:val="sq-AL"/>
        </w:rPr>
        <w:t xml:space="preserve">, dhe më pas nga </w:t>
      </w:r>
      <w:r w:rsidR="00712EDE">
        <w:rPr>
          <w:rFonts w:ascii="Garamond" w:hAnsi="Garamond" w:cs="Garamond"/>
          <w:color w:val="000000"/>
          <w:sz w:val="24"/>
          <w:szCs w:val="24"/>
          <w:lang w:val="sq-AL"/>
        </w:rPr>
        <w:t>a</w:t>
      </w:r>
      <w:r w:rsidRPr="00934914">
        <w:rPr>
          <w:rFonts w:ascii="Garamond" w:hAnsi="Garamond" w:cs="Garamond"/>
          <w:color w:val="000000"/>
          <w:sz w:val="24"/>
          <w:szCs w:val="24"/>
          <w:lang w:val="sq-AL"/>
        </w:rPr>
        <w:t>gjenti z. O.</w:t>
      </w:r>
      <w:r w:rsidR="008E0E53">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Moçka</w:t>
      </w:r>
      <w:proofErr w:type="spellEnd"/>
      <w:r w:rsidRPr="00934914">
        <w:rPr>
          <w:rFonts w:ascii="Garamond" w:hAnsi="Garamond" w:cs="Garamond"/>
          <w:color w:val="000000"/>
          <w:sz w:val="24"/>
          <w:szCs w:val="24"/>
          <w:lang w:val="sq-AL"/>
        </w:rPr>
        <w:t xml:space="preserve">, </w:t>
      </w:r>
      <w:r w:rsidR="00CB0B02" w:rsidRPr="00934914">
        <w:rPr>
          <w:rFonts w:ascii="Garamond" w:hAnsi="Garamond" w:cs="Garamond"/>
          <w:color w:val="000000"/>
          <w:sz w:val="24"/>
          <w:szCs w:val="24"/>
          <w:lang w:val="sq-AL"/>
        </w:rPr>
        <w:t>avokat i përgjithshëm i shtetit</w:t>
      </w:r>
      <w:r w:rsidRPr="00934914">
        <w:rPr>
          <w:rFonts w:ascii="Garamond" w:hAnsi="Garamond" w:cs="Garamond"/>
          <w:color w:val="000000"/>
          <w:sz w:val="24"/>
          <w:szCs w:val="24"/>
          <w:lang w:val="sq-AL"/>
        </w:rPr>
        <w:t>;</w:t>
      </w:r>
    </w:p>
    <w:p w14:paraId="6F67DFDA"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parashtrimet e palëve;</w:t>
      </w:r>
    </w:p>
    <w:p w14:paraId="7F03A900"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Pas diskutimit me dyer të mbyllura më 6 shkurt 2024,</w:t>
      </w:r>
    </w:p>
    <w:p w14:paraId="4A775A1D"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merr vendimin e mëposhtëm, i cili u miratua po në atë datë:</w:t>
      </w:r>
    </w:p>
    <w:p w14:paraId="5FC8E0C7" w14:textId="77777777" w:rsidR="00004ACD" w:rsidRPr="00934914" w:rsidRDefault="00004ACD" w:rsidP="000E7DF4">
      <w:pPr>
        <w:keepNext/>
        <w:keepLines/>
        <w:autoSpaceDE w:val="0"/>
        <w:autoSpaceDN w:val="0"/>
        <w:adjustRightInd w:val="0"/>
        <w:spacing w:after="0" w:line="240" w:lineRule="auto"/>
        <w:ind w:firstLine="284"/>
        <w:jc w:val="both"/>
        <w:rPr>
          <w:rFonts w:ascii="Garamond" w:hAnsi="Garamond" w:cs="Garamond"/>
          <w:caps/>
          <w:color w:val="000000"/>
          <w:sz w:val="24"/>
          <w:szCs w:val="24"/>
          <w:lang w:val="sq-AL"/>
        </w:rPr>
      </w:pPr>
      <w:r w:rsidRPr="00934914">
        <w:rPr>
          <w:rFonts w:ascii="Garamond" w:hAnsi="Garamond" w:cs="Garamond"/>
          <w:caps/>
          <w:color w:val="000000"/>
          <w:sz w:val="24"/>
          <w:szCs w:val="24"/>
          <w:lang w:val="sq-AL"/>
        </w:rPr>
        <w:t>OBJEKTI I ÇËSHTJES</w:t>
      </w:r>
    </w:p>
    <w:p w14:paraId="38640EC1" w14:textId="229F08D6"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 Çështja ka të bëjë me shkeljen e pretenduar të së drejtës së kërkuesve për gëzimin paqësor të pasurisë së tyre sipas nenit 1 të </w:t>
      </w:r>
      <w:r w:rsidR="00F02D69" w:rsidRPr="00934914">
        <w:rPr>
          <w:rFonts w:ascii="Garamond" w:hAnsi="Garamond" w:cs="Garamond"/>
          <w:color w:val="000000"/>
          <w:sz w:val="24"/>
          <w:szCs w:val="24"/>
          <w:lang w:val="sq-AL"/>
        </w:rPr>
        <w:t xml:space="preserve">protokollit </w:t>
      </w:r>
      <w:r w:rsidRPr="00934914">
        <w:rPr>
          <w:rFonts w:ascii="Garamond" w:hAnsi="Garamond" w:cs="Garamond"/>
          <w:color w:val="000000"/>
          <w:sz w:val="24"/>
          <w:szCs w:val="24"/>
          <w:lang w:val="sq-AL"/>
        </w:rPr>
        <w:t>nr. 1 të Konventës për shkak të mosekzekutimit të vendimeve të brendshme në favor të tyre.</w:t>
      </w:r>
    </w:p>
    <w:p w14:paraId="7196E17F" w14:textId="06381CD6"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2. Lista e kërkuesve dhe të dhënat e tyre janë paraqitur në </w:t>
      </w:r>
      <w:r w:rsidR="003576A2" w:rsidRPr="00934914">
        <w:rPr>
          <w:rFonts w:ascii="Garamond" w:hAnsi="Garamond" w:cs="Garamond"/>
          <w:color w:val="000000"/>
          <w:sz w:val="24"/>
          <w:szCs w:val="24"/>
          <w:lang w:val="sq-AL"/>
        </w:rPr>
        <w:t>shtojcë</w:t>
      </w:r>
      <w:r w:rsidRPr="00934914">
        <w:rPr>
          <w:rFonts w:ascii="Garamond" w:hAnsi="Garamond" w:cs="Garamond"/>
          <w:color w:val="000000"/>
          <w:sz w:val="24"/>
          <w:szCs w:val="24"/>
          <w:lang w:val="sq-AL"/>
        </w:rPr>
        <w:t>.</w:t>
      </w:r>
    </w:p>
    <w:p w14:paraId="4455A7BE" w14:textId="77777777" w:rsidR="00004ACD" w:rsidRPr="00934914" w:rsidRDefault="00004ACD" w:rsidP="000E7DF4">
      <w:pPr>
        <w:keepNext/>
        <w:keepLines/>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934914">
        <w:rPr>
          <w:rFonts w:ascii="Garamond" w:hAnsi="Garamond" w:cs="Garamond"/>
          <w:caps/>
          <w:color w:val="000000"/>
          <w:sz w:val="24"/>
          <w:szCs w:val="24"/>
          <w:lang w:val="sq-AL"/>
        </w:rPr>
        <w:t>i. Proceset në lidhje me kthimin e tokës</w:t>
      </w:r>
    </w:p>
    <w:p w14:paraId="2510FF5D"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3. Toka e paraardhësve të kërkuesve u shtetëzua në një datë të papërcaktuar nga ish-regjimi komunist. Pas rënies së komunizmit, në një datë të papërcaktuar, kërkuesit depozituan një kërkesë pranë Komisionit të Kthimit dhe Kompensimit të Pronave (“Komisioni”), me anë të së cilës kërkonin kthimin e parcelës së tokës në fjalë.</w:t>
      </w:r>
    </w:p>
    <w:p w14:paraId="18215660"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4. Më 9 shtator 1994, Komisioni njohu titullin e pronësisë së kërkuesve për një parcelë toke me sipërfaqe 43,100 metër katrorë (</w:t>
      </w:r>
      <w:proofErr w:type="spellStart"/>
      <w:r w:rsidRPr="00934914">
        <w:rPr>
          <w:rFonts w:ascii="Garamond" w:hAnsi="Garamond" w:cs="Garamond"/>
          <w:color w:val="000000"/>
          <w:sz w:val="24"/>
          <w:szCs w:val="24"/>
          <w:lang w:val="sq-AL"/>
        </w:rPr>
        <w:t>m²</w:t>
      </w:r>
      <w:proofErr w:type="spellEnd"/>
      <w:r w:rsidRPr="00934914">
        <w:rPr>
          <w:rFonts w:ascii="Garamond" w:hAnsi="Garamond" w:cs="Garamond"/>
          <w:color w:val="000000"/>
          <w:sz w:val="24"/>
          <w:szCs w:val="24"/>
          <w:lang w:val="sq-AL"/>
        </w:rPr>
        <w:t xml:space="preserve">), nga të cilat 25,540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ishin të zëna. Ai vendosi që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që ndodhej brenda parcelës së lirë me sipërfaqe 17,560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t’i kthehej kërkuesve. Kërkuesit duhej të zgjidhnin vendndodhjen e kësaj sipërfaqeje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Ky vendim nuk u kundërshtua asnjëherë në asnjë gjykatë dhe është ende në fuqi. Deri më sot, kjo parcelë toke nuk është në posedim të kërkuesve dhe as nuk është regjistruar në emër të tyre.</w:t>
      </w:r>
    </w:p>
    <w:p w14:paraId="51FB4E35" w14:textId="31B6FF15"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5. Gjithashtu</w:t>
      </w:r>
      <w:r w:rsidR="003576A2">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 Komisioni vendosi të rivendoste të drejtat e pronës së kërkuesve mbi një shtëpi së bashku me parcelën e tokës ngjitur me sipërfaqe 430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dhe një parcelë tjetër toke me sipërfaqe 400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që ndodhej brenda parcelës me sipërfaqe 43,100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Pronësia e kërkuesve mbi këto parcela u regjistrua në Zyrën e Regjistrimit të Pasurive të Paluajtshme.</w:t>
      </w:r>
    </w:p>
    <w:p w14:paraId="30F41CF9"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lastRenderedPageBreak/>
        <w:t xml:space="preserve">6. Në një datë të papërcaktuar, kërkuesit ngritën padi kundër Komisionit, duke kërkuar sqarimin e vendimit të tij në lidhje me njohjen e titullit të pronësisë, si edhe kthimin dhe/ose kompensimin e saj. Ndër të tjera, kërkuesit pretenduan se atyre duhej t’u ishte kthyer një parcelë toke me sipërfaqe 290,700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Më 17 maj 2005, Gjykata e Rrethit Tiranë rrëzoi padinë, duke pranuar pretendimin e Komisionit se kjo ishte një çështje e juridiksionit administrativ. Ky vendim mori formë të prerë.</w:t>
      </w:r>
    </w:p>
    <w:p w14:paraId="20084E81" w14:textId="54648B1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7. Në vitin 2005 dhe në vitin 2007, kërkuesit paraqitën kërkesa pranë pasuesit të Komisionit, Agjencisë për Kthimin dhe Kompensimin e Pronave (“Agjencia”), me anët të </w:t>
      </w:r>
      <w:proofErr w:type="spellStart"/>
      <w:r w:rsidRPr="00934914">
        <w:rPr>
          <w:rFonts w:ascii="Garamond" w:hAnsi="Garamond" w:cs="Garamond"/>
          <w:color w:val="000000"/>
          <w:sz w:val="24"/>
          <w:szCs w:val="24"/>
          <w:lang w:val="sq-AL"/>
        </w:rPr>
        <w:t>të</w:t>
      </w:r>
      <w:proofErr w:type="spellEnd"/>
      <w:r w:rsidRPr="00934914">
        <w:rPr>
          <w:rFonts w:ascii="Garamond" w:hAnsi="Garamond" w:cs="Garamond"/>
          <w:color w:val="000000"/>
          <w:sz w:val="24"/>
          <w:szCs w:val="24"/>
          <w:lang w:val="sq-AL"/>
        </w:rPr>
        <w:t xml:space="preserve"> cilave kërkuan që parcela me sipërfaqe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të kufizohej dhe të kthehej toka e mbetur e lirë. Më 26 qershor 2007</w:t>
      </w:r>
      <w:r w:rsidR="003576A2">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 Agjencia i udhëzoi kërkuesit që të dorëzonin një kërkesë të re pranë zyrës së saj vendore.</w:t>
      </w:r>
    </w:p>
    <w:p w14:paraId="79B880BA"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8. Kundërshtimi i asaj shkrese nga kërkuesit u hodh poshtë nga drejtuesi i Agjencisë. Më 24 dhjetor 2009, Gjykata e Rrethit Tiranë vendosi në favor të kërkuesve, ku u shpreh se Agjencia e kishte për detyrë të jepte një vendim. Ky vendim mori formë të prerë.</w:t>
      </w:r>
    </w:p>
    <w:p w14:paraId="362F65EB"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9. Më 25 tetor 2011, Agjencia refuzoi kërkesën e kërkuesve për ekzekutimin e vendimit të Gjykatës së Rrethit të datës 24 dhjetor 2009, me arsyetimin se u takonte kërkuesve të zgjidhnin vendndodhjen e saktë të parcelës së tokës. Agjencia gjithashtu pretendoi se nuk kishte kompetencë të shqyrtonte një vendim të Komisionit dhe kërkuesit duhej të depozitonin një padi civile.</w:t>
      </w:r>
    </w:p>
    <w:p w14:paraId="5365B612"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10. Në vitin 2015, padia civile e kërkuesve u rrëzua nga Gjykata e Rrethit Tiranë, e cila nuk gjeti prova bindëse në lidhje me të drejtën e pronësisë së kërkuesve mbi parcelën e tokës me sipërfaqe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Në vitin 2017, Gjykata e Apelit Tiranë e prishi atë vendim dhe e ktheu çështjen në Gjykatën e Rrethit, duke u shprehur se analiza e provave përkatëse ishte e paplotë dhe se Agjencia nuk kishte vënë në pikëpyetje pronësinë e kërkuesve mbi parcelën e tokës me sipërfaqe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Në vitin 2023, çështja mbeti në pritje në Gjykatën e Lartë pas ankimit nga Agjencia për çështje të ligjit.</w:t>
      </w:r>
    </w:p>
    <w:p w14:paraId="0006B83E"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11. Më 11 korrik 2018, kërkuesit depozituan një kërkesë të re në Regjistrin e Tokave për regjistrimin e pronësisë së tyre mbi parcelën e tokës me sipërfaqe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Kërkesa u refuzua me arsyetimin se planimetria e pronës nuk i përcaktonte qartë kufijtë e asaj parcele toke.</w:t>
      </w:r>
    </w:p>
    <w:p w14:paraId="1CD6E4FD" w14:textId="77777777" w:rsidR="00004ACD" w:rsidRPr="00934914" w:rsidRDefault="00004ACD" w:rsidP="000E7DF4">
      <w:pPr>
        <w:keepNext/>
        <w:keepLines/>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proofErr w:type="spellStart"/>
      <w:r w:rsidRPr="00934914">
        <w:rPr>
          <w:rFonts w:ascii="Garamond" w:hAnsi="Garamond" w:cs="Garamond"/>
          <w:caps/>
          <w:color w:val="000000"/>
          <w:sz w:val="24"/>
          <w:szCs w:val="24"/>
          <w:lang w:val="sq-AL"/>
        </w:rPr>
        <w:t>II</w:t>
      </w:r>
      <w:proofErr w:type="spellEnd"/>
      <w:r w:rsidRPr="00934914">
        <w:rPr>
          <w:rFonts w:ascii="Garamond" w:hAnsi="Garamond" w:cs="Garamond"/>
          <w:caps/>
          <w:color w:val="000000"/>
          <w:sz w:val="24"/>
          <w:szCs w:val="24"/>
          <w:lang w:val="sq-AL"/>
        </w:rPr>
        <w:t>. Proceset gjyqësore me palë private</w:t>
      </w:r>
    </w:p>
    <w:p w14:paraId="7B1B75CE"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12. Më 6 shtator 1996, Komisioni njohu të drejtat e pronës në favor të një pale private, familjes S., për një parcelë toke. Në një datë të papërcaktuar, kërkuesit kundërshtuan vendimin e Komisionit, me pretendimin se parcela e tokës e S. ishte e mbivendosur me parcelën e tokës së tyre.</w:t>
      </w:r>
    </w:p>
    <w:p w14:paraId="67835AA4"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13. Më 19 maj 2004, Gjykata e Rrethit Tiranë anuloi pjesërisht vendimin e Komisionit të datës 6 shtator 1996, në lidhje me parcelën e tokës me sipërfaqe 5500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që mbivendosej me pronën e kërkuesve. Ky vendim mori formë të prerë më 27 dhjetor 2006, pas rrëzimit të kërkesës së të paditurit nga Gjykata e Lartë.</w:t>
      </w:r>
    </w:p>
    <w:p w14:paraId="35393AB1" w14:textId="3DD83C3F" w:rsidR="00004ACD" w:rsidRPr="00934914" w:rsidRDefault="00004ACD" w:rsidP="000E7DF4">
      <w:pPr>
        <w:keepNext/>
        <w:keepLine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14. Më 17 tetor 2011, Gjykata e Rrethit rrëzoi një kërkesë të paraqitur nga kërkuesit kundër disa palëve private në lidhje me një mbivendosje tjetër me parcelën me sipërfaqe 13,310 </w:t>
      </w:r>
      <w:proofErr w:type="spellStart"/>
      <w:r w:rsidRPr="00934914">
        <w:rPr>
          <w:rFonts w:ascii="Garamond" w:hAnsi="Garamond" w:cs="Garamond"/>
          <w:color w:val="000000"/>
          <w:sz w:val="24"/>
          <w:szCs w:val="24"/>
          <w:lang w:val="sq-AL"/>
        </w:rPr>
        <w:t>m</w:t>
      </w:r>
      <w:r w:rsidRPr="000E7DF4">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duke konstatuar se në kohën e vendimit të Komisionit në vitin 1994 (shih paragrafin 4 më lart), parcela e tokës në fjalë ishte e zënë pjesërisht nga Z.</w:t>
      </w:r>
      <w:r w:rsidR="000E7DF4">
        <w:rPr>
          <w:rFonts w:ascii="Garamond" w:hAnsi="Garamond" w:cs="Garamond"/>
          <w:color w:val="000000"/>
          <w:sz w:val="24"/>
          <w:szCs w:val="24"/>
          <w:lang w:val="sq-AL"/>
        </w:rPr>
        <w:t xml:space="preserve"> </w:t>
      </w:r>
      <w:r w:rsidRPr="00934914">
        <w:rPr>
          <w:rFonts w:ascii="Garamond" w:hAnsi="Garamond" w:cs="Garamond"/>
          <w:color w:val="000000"/>
          <w:sz w:val="24"/>
          <w:szCs w:val="24"/>
          <w:lang w:val="sq-AL"/>
        </w:rPr>
        <w:t>B.</w:t>
      </w:r>
    </w:p>
    <w:p w14:paraId="6F8D6E77" w14:textId="77777777" w:rsidR="00004ACD" w:rsidRPr="00934914" w:rsidRDefault="00004ACD" w:rsidP="000E7DF4">
      <w:pPr>
        <w:keepNext/>
        <w:autoSpaceDE w:val="0"/>
        <w:autoSpaceDN w:val="0"/>
        <w:adjustRightInd w:val="0"/>
        <w:spacing w:after="0" w:line="240" w:lineRule="auto"/>
        <w:ind w:firstLine="284"/>
        <w:jc w:val="both"/>
        <w:rPr>
          <w:rFonts w:ascii="Garamond" w:hAnsi="Garamond" w:cs="Garamond"/>
          <w:caps/>
          <w:color w:val="000000"/>
          <w:sz w:val="24"/>
          <w:szCs w:val="24"/>
          <w:lang w:val="sq-AL"/>
        </w:rPr>
      </w:pPr>
      <w:r w:rsidRPr="00934914">
        <w:rPr>
          <w:rFonts w:ascii="Garamond" w:hAnsi="Garamond" w:cs="Garamond"/>
          <w:caps/>
          <w:color w:val="000000"/>
          <w:sz w:val="24"/>
          <w:szCs w:val="24"/>
          <w:lang w:val="sq-AL"/>
        </w:rPr>
        <w:t>VLERËSIMI I GJYKATËS</w:t>
      </w:r>
    </w:p>
    <w:p w14:paraId="1FD3C717" w14:textId="77777777" w:rsidR="00004ACD" w:rsidRPr="00934914" w:rsidRDefault="00004ACD" w:rsidP="000E7DF4">
      <w:pPr>
        <w:keepNext/>
        <w:tabs>
          <w:tab w:val="left" w:pos="440"/>
          <w:tab w:val="left" w:pos="52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r w:rsidRPr="00934914">
        <w:rPr>
          <w:rFonts w:ascii="Garamond" w:hAnsi="Garamond" w:cs="Garamond"/>
          <w:caps/>
          <w:color w:val="000000"/>
          <w:sz w:val="24"/>
          <w:szCs w:val="24"/>
          <w:lang w:val="sq-AL"/>
        </w:rPr>
        <w:t>I. SHKELJA E PRETENDUAR E NENIT 1 TË PROTOKOLLIT NR. 1</w:t>
      </w:r>
    </w:p>
    <w:p w14:paraId="1A897A93" w14:textId="77777777" w:rsidR="00004ACD" w:rsidRPr="00934914" w:rsidRDefault="00004ACD" w:rsidP="000E7DF4">
      <w:pPr>
        <w:keepNext/>
        <w:autoSpaceDE w:val="0"/>
        <w:autoSpaceDN w:val="0"/>
        <w:adjustRightInd w:val="0"/>
        <w:spacing w:after="0" w:line="240" w:lineRule="auto"/>
        <w:ind w:firstLine="284"/>
        <w:jc w:val="both"/>
        <w:rPr>
          <w:rFonts w:ascii="Garamond" w:hAnsi="Garamond" w:cs="Garamond"/>
          <w:b/>
          <w:bCs/>
          <w:color w:val="000000"/>
          <w:sz w:val="24"/>
          <w:szCs w:val="24"/>
          <w:lang w:val="sq-AL"/>
        </w:rPr>
      </w:pPr>
      <w:r w:rsidRPr="00934914">
        <w:rPr>
          <w:rFonts w:ascii="Garamond" w:hAnsi="Garamond" w:cs="Garamond"/>
          <w:b/>
          <w:bCs/>
          <w:color w:val="000000"/>
          <w:sz w:val="24"/>
          <w:szCs w:val="24"/>
          <w:lang w:val="sq-AL"/>
        </w:rPr>
        <w:t>A.</w:t>
      </w:r>
      <w:r w:rsidR="00E80544" w:rsidRPr="00934914">
        <w:rPr>
          <w:rFonts w:ascii="Garamond" w:hAnsi="Garamond" w:cs="Garamond"/>
          <w:b/>
          <w:bCs/>
          <w:color w:val="000000"/>
          <w:sz w:val="24"/>
          <w:szCs w:val="24"/>
          <w:lang w:val="sq-AL"/>
        </w:rPr>
        <w:t xml:space="preserve"> </w:t>
      </w:r>
      <w:proofErr w:type="spellStart"/>
      <w:r w:rsidRPr="00934914">
        <w:rPr>
          <w:rFonts w:ascii="Garamond" w:hAnsi="Garamond" w:cs="Garamond"/>
          <w:b/>
          <w:bCs/>
          <w:color w:val="000000"/>
          <w:sz w:val="24"/>
          <w:szCs w:val="24"/>
          <w:lang w:val="sq-AL"/>
        </w:rPr>
        <w:t>Pranueshmëria</w:t>
      </w:r>
      <w:proofErr w:type="spellEnd"/>
    </w:p>
    <w:p w14:paraId="27301C3D"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15. Qeveria e kundërshtoi </w:t>
      </w:r>
      <w:proofErr w:type="spellStart"/>
      <w:r w:rsidRPr="00934914">
        <w:rPr>
          <w:rFonts w:ascii="Garamond" w:hAnsi="Garamond" w:cs="Garamond"/>
          <w:color w:val="000000"/>
          <w:sz w:val="24"/>
          <w:szCs w:val="24"/>
          <w:lang w:val="sq-AL"/>
        </w:rPr>
        <w:t>pranueshmërinë</w:t>
      </w:r>
      <w:proofErr w:type="spellEnd"/>
      <w:r w:rsidRPr="00934914">
        <w:rPr>
          <w:rFonts w:ascii="Garamond" w:hAnsi="Garamond" w:cs="Garamond"/>
          <w:color w:val="000000"/>
          <w:sz w:val="24"/>
          <w:szCs w:val="24"/>
          <w:lang w:val="sq-AL"/>
        </w:rPr>
        <w:t xml:space="preserve"> e kësaj ankese për dy arsye.</w:t>
      </w:r>
    </w:p>
    <w:p w14:paraId="7BB82AE5" w14:textId="7C387CEC"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16. Së pari, ata pretenduan se ankesa e kërkuesve ishte jashtë objektit të nenit 1 të </w:t>
      </w:r>
      <w:r w:rsidR="008E0E53">
        <w:rPr>
          <w:rFonts w:ascii="Garamond" w:hAnsi="Garamond" w:cs="Garamond"/>
          <w:color w:val="000000"/>
          <w:sz w:val="24"/>
          <w:szCs w:val="24"/>
          <w:lang w:val="sq-AL"/>
        </w:rPr>
        <w:t>p</w:t>
      </w:r>
      <w:r w:rsidRPr="00934914">
        <w:rPr>
          <w:rFonts w:ascii="Garamond" w:hAnsi="Garamond" w:cs="Garamond"/>
          <w:color w:val="000000"/>
          <w:sz w:val="24"/>
          <w:szCs w:val="24"/>
          <w:lang w:val="sq-AL"/>
        </w:rPr>
        <w:t>rotokollit nr.</w:t>
      </w:r>
      <w:r w:rsidR="008E0E53">
        <w:rPr>
          <w:rFonts w:ascii="Garamond" w:hAnsi="Garamond" w:cs="Garamond"/>
          <w:color w:val="000000"/>
          <w:sz w:val="24"/>
          <w:szCs w:val="24"/>
          <w:lang w:val="sq-AL"/>
        </w:rPr>
        <w:t xml:space="preserve"> </w:t>
      </w:r>
      <w:r w:rsidRPr="00934914">
        <w:rPr>
          <w:rFonts w:ascii="Garamond" w:hAnsi="Garamond" w:cs="Garamond"/>
          <w:color w:val="000000"/>
          <w:sz w:val="24"/>
          <w:szCs w:val="24"/>
          <w:lang w:val="sq-AL"/>
        </w:rPr>
        <w:t xml:space="preserve">1 sepse ata nuk kishin pritshmëri legjitime për të fituar posedimin e parcelës së tokës me sipërfaqe 290.700 </w:t>
      </w:r>
      <w:proofErr w:type="spellStart"/>
      <w:r w:rsidRPr="00934914">
        <w:rPr>
          <w:rFonts w:ascii="Garamond" w:hAnsi="Garamond" w:cs="Garamond"/>
          <w:color w:val="000000"/>
          <w:sz w:val="24"/>
          <w:szCs w:val="24"/>
          <w:lang w:val="sq-AL"/>
        </w:rPr>
        <w:t>m</w:t>
      </w:r>
      <w:r w:rsidRPr="00856AB8">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sa kohë që të drejtat mbi atë parcelë toke nuk ishin njohur me vendim të formës së prerë.</w:t>
      </w:r>
    </w:p>
    <w:p w14:paraId="6352921E" w14:textId="19A10434"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17. Gjykata thekson se një kërkues mund të pretendojë shkelje të nenit 1 të </w:t>
      </w:r>
      <w:r w:rsidR="008E0E53">
        <w:rPr>
          <w:rFonts w:ascii="Garamond" w:hAnsi="Garamond" w:cs="Garamond"/>
          <w:color w:val="000000"/>
          <w:sz w:val="24"/>
          <w:szCs w:val="24"/>
          <w:lang w:val="sq-AL"/>
        </w:rPr>
        <w:t>p</w:t>
      </w:r>
      <w:r w:rsidRPr="00934914">
        <w:rPr>
          <w:rFonts w:ascii="Garamond" w:hAnsi="Garamond" w:cs="Garamond"/>
          <w:color w:val="000000"/>
          <w:sz w:val="24"/>
          <w:szCs w:val="24"/>
          <w:lang w:val="sq-AL"/>
        </w:rPr>
        <w:t xml:space="preserve">rotokollit nr. 1 vetëm në masën që vendimet e kundërshtuara kanë të bëjnë me “pasuritë” e tij ose të saj sipas kuptimit të kësaj dispozite (shihni, ndër të tjera, </w:t>
      </w:r>
      <w:r w:rsidRPr="00934914">
        <w:rPr>
          <w:rFonts w:ascii="Garamond" w:hAnsi="Garamond" w:cs="Garamond"/>
          <w:i/>
          <w:iCs/>
          <w:color w:val="000000"/>
          <w:sz w:val="24"/>
          <w:szCs w:val="24"/>
          <w:lang w:val="sq-AL"/>
        </w:rPr>
        <w:t xml:space="preserve">Manushaqe </w:t>
      </w:r>
      <w:proofErr w:type="spellStart"/>
      <w:r w:rsidRPr="00934914">
        <w:rPr>
          <w:rFonts w:ascii="Garamond" w:hAnsi="Garamond" w:cs="Garamond"/>
          <w:i/>
          <w:iCs/>
          <w:color w:val="000000"/>
          <w:sz w:val="24"/>
          <w:szCs w:val="24"/>
          <w:lang w:val="sq-AL"/>
        </w:rPr>
        <w:t>Puto</w:t>
      </w:r>
      <w:proofErr w:type="spellEnd"/>
      <w:r w:rsidRPr="00934914">
        <w:rPr>
          <w:rFonts w:ascii="Garamond" w:hAnsi="Garamond" w:cs="Garamond"/>
          <w:i/>
          <w:iCs/>
          <w:color w:val="000000"/>
          <w:sz w:val="24"/>
          <w:szCs w:val="24"/>
          <w:lang w:val="sq-AL"/>
        </w:rPr>
        <w:t xml:space="preserve"> dhe të tjerë kundër Shqipërisë</w:t>
      </w:r>
      <w:r w:rsidRPr="00934914">
        <w:rPr>
          <w:rFonts w:ascii="Garamond" w:hAnsi="Garamond" w:cs="Garamond"/>
          <w:color w:val="000000"/>
          <w:sz w:val="24"/>
          <w:szCs w:val="24"/>
          <w:lang w:val="sq-AL"/>
        </w:rPr>
        <w:t xml:space="preserve">, nr. 604/07, 43628/07, 46684/07 dhe 34770/09, § 92, 31 korrik 2012, dhe </w:t>
      </w:r>
      <w:r w:rsidRPr="00934914">
        <w:rPr>
          <w:rFonts w:ascii="Garamond" w:hAnsi="Garamond" w:cs="Garamond"/>
          <w:i/>
          <w:iCs/>
          <w:color w:val="000000"/>
          <w:sz w:val="24"/>
          <w:szCs w:val="24"/>
          <w:lang w:val="sq-AL"/>
        </w:rPr>
        <w:t>Luli dhe të tjerë kundër Shqipërisë</w:t>
      </w:r>
      <w:r w:rsidRPr="00934914">
        <w:rPr>
          <w:rFonts w:ascii="Garamond" w:hAnsi="Garamond" w:cs="Garamond"/>
          <w:color w:val="000000"/>
          <w:sz w:val="24"/>
          <w:szCs w:val="24"/>
          <w:lang w:val="sq-AL"/>
        </w:rPr>
        <w:t xml:space="preserve">, nr. 64480/09 dhe </w:t>
      </w:r>
      <w:r w:rsidRPr="00934914">
        <w:rPr>
          <w:rFonts w:ascii="Garamond" w:hAnsi="Garamond" w:cs="Garamond"/>
          <w:color w:val="000000"/>
          <w:sz w:val="24"/>
          <w:szCs w:val="24"/>
          <w:lang w:val="sq-AL"/>
        </w:rPr>
        <w:lastRenderedPageBreak/>
        <w:t xml:space="preserve">5 të tjerë, § 104, 1 prill 2014). Për parcelën me sipërfaqe 290,700 </w:t>
      </w:r>
      <w:proofErr w:type="spellStart"/>
      <w:r w:rsidRPr="00934914">
        <w:rPr>
          <w:rFonts w:ascii="Garamond" w:hAnsi="Garamond" w:cs="Garamond"/>
          <w:color w:val="000000"/>
          <w:sz w:val="24"/>
          <w:szCs w:val="24"/>
          <w:lang w:val="sq-AL"/>
        </w:rPr>
        <w:t>m</w:t>
      </w:r>
      <w:r w:rsidRPr="00856AB8">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ende nuk është marrë asnjë vendim përfundimtar i ekzekutueshëm. Proceset në lidhje me njohjen e të drejtave të pronës së kërkuesve mbi atë parcelë toke janë ende në pritje përpara autoriteteve të brendshme (shihni paragrafin</w:t>
      </w:r>
      <w:r w:rsidR="00856AB8">
        <w:rPr>
          <w:rFonts w:ascii="Garamond" w:hAnsi="Garamond" w:cs="Garamond"/>
          <w:color w:val="000000"/>
          <w:sz w:val="24"/>
          <w:szCs w:val="24"/>
          <w:lang w:val="sq-AL"/>
        </w:rPr>
        <w:t xml:space="preserve"> </w:t>
      </w:r>
      <w:r w:rsidRPr="00934914">
        <w:rPr>
          <w:rFonts w:ascii="Garamond" w:hAnsi="Garamond" w:cs="Garamond"/>
          <w:color w:val="000000"/>
          <w:sz w:val="24"/>
          <w:szCs w:val="24"/>
          <w:lang w:val="sq-AL"/>
        </w:rPr>
        <w:t>10 më lart).</w:t>
      </w:r>
    </w:p>
    <w:p w14:paraId="71BC7DB5"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18. Nga kjo vijon se kjo ankesë është e papajtueshme </w:t>
      </w:r>
      <w:proofErr w:type="spellStart"/>
      <w:r w:rsidRPr="00934914">
        <w:rPr>
          <w:rFonts w:ascii="Garamond" w:hAnsi="Garamond" w:cs="Garamond"/>
          <w:i/>
          <w:iCs/>
          <w:color w:val="000000"/>
          <w:sz w:val="24"/>
          <w:szCs w:val="24"/>
          <w:lang w:val="sq-AL"/>
        </w:rPr>
        <w:t>ratione</w:t>
      </w:r>
      <w:proofErr w:type="spellEnd"/>
      <w:r w:rsidRPr="00934914">
        <w:rPr>
          <w:rFonts w:ascii="Garamond" w:hAnsi="Garamond" w:cs="Garamond"/>
          <w:i/>
          <w:iCs/>
          <w:color w:val="000000"/>
          <w:sz w:val="24"/>
          <w:szCs w:val="24"/>
          <w:lang w:val="sq-AL"/>
        </w:rPr>
        <w:t xml:space="preserve"> </w:t>
      </w:r>
      <w:proofErr w:type="spellStart"/>
      <w:r w:rsidRPr="00934914">
        <w:rPr>
          <w:rFonts w:ascii="Garamond" w:hAnsi="Garamond" w:cs="Garamond"/>
          <w:i/>
          <w:iCs/>
          <w:color w:val="000000"/>
          <w:sz w:val="24"/>
          <w:szCs w:val="24"/>
          <w:lang w:val="sq-AL"/>
        </w:rPr>
        <w:t>materiae</w:t>
      </w:r>
      <w:proofErr w:type="spellEnd"/>
      <w:r w:rsidRPr="00934914">
        <w:rPr>
          <w:rFonts w:ascii="Garamond" w:hAnsi="Garamond" w:cs="Garamond"/>
          <w:color w:val="000000"/>
          <w:sz w:val="24"/>
          <w:szCs w:val="24"/>
          <w:lang w:val="sq-AL"/>
        </w:rPr>
        <w:t xml:space="preserve"> me dispozitat e Konventës sipas kuptimit të paragrafit 3 të nenit 35, dhe duhet të refuzohet në përputhje me paragrafin 4, të nenit 35 të Konventës.</w:t>
      </w:r>
    </w:p>
    <w:p w14:paraId="672F8FC6" w14:textId="4078767E"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19. Për sa i përket parcelës me sipërfaqe 13,310 </w:t>
      </w:r>
      <w:proofErr w:type="spellStart"/>
      <w:r w:rsidRPr="00934914">
        <w:rPr>
          <w:rFonts w:ascii="Garamond" w:hAnsi="Garamond" w:cs="Garamond"/>
          <w:color w:val="000000"/>
          <w:sz w:val="24"/>
          <w:szCs w:val="24"/>
          <w:lang w:val="sq-AL"/>
        </w:rPr>
        <w:t>m</w:t>
      </w:r>
      <w:r w:rsidRPr="00086A6A">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Gjykata vëren se kërkuesve u është njohur e drejta e kthimit me vendimin e Komisionit të vitit 1994, i cili është përfundimtar. Prandaj, ajo e konsideron pretendimin e kërkuesve mbi atë parcelë toke të provuar mjaftueshëm në legjislacionin e brendshëm për t’u cilësuar si “pasuri” e ekzekutueshme sipas nenit 1 të </w:t>
      </w:r>
      <w:r w:rsidR="008E0E53">
        <w:rPr>
          <w:rFonts w:ascii="Garamond" w:hAnsi="Garamond" w:cs="Garamond"/>
          <w:color w:val="000000"/>
          <w:sz w:val="24"/>
          <w:szCs w:val="24"/>
          <w:lang w:val="sq-AL"/>
        </w:rPr>
        <w:t>p</w:t>
      </w:r>
      <w:r w:rsidRPr="00934914">
        <w:rPr>
          <w:rFonts w:ascii="Garamond" w:hAnsi="Garamond" w:cs="Garamond"/>
          <w:color w:val="000000"/>
          <w:sz w:val="24"/>
          <w:szCs w:val="24"/>
          <w:lang w:val="sq-AL"/>
        </w:rPr>
        <w:t>rotokollit nr. 1 (shihni, për shembull, </w:t>
      </w:r>
      <w:proofErr w:type="spellStart"/>
      <w:r w:rsidRPr="00934914">
        <w:rPr>
          <w:rFonts w:ascii="Garamond" w:hAnsi="Garamond" w:cs="Garamond"/>
          <w:i/>
          <w:iCs/>
          <w:color w:val="000000"/>
          <w:sz w:val="24"/>
          <w:szCs w:val="24"/>
          <w:lang w:val="sq-AL"/>
        </w:rPr>
        <w:t>Ramadhi</w:t>
      </w:r>
      <w:proofErr w:type="spellEnd"/>
      <w:r w:rsidRPr="00934914">
        <w:rPr>
          <w:rFonts w:ascii="Garamond" w:hAnsi="Garamond" w:cs="Garamond"/>
          <w:i/>
          <w:iCs/>
          <w:color w:val="000000"/>
          <w:sz w:val="24"/>
          <w:szCs w:val="24"/>
          <w:lang w:val="sq-AL"/>
        </w:rPr>
        <w:t xml:space="preserve"> dhe të tjerë kundër Shqipërisë</w:t>
      </w:r>
      <w:r w:rsidRPr="00934914">
        <w:rPr>
          <w:rFonts w:ascii="Garamond" w:hAnsi="Garamond" w:cs="Garamond"/>
          <w:color w:val="000000"/>
          <w:sz w:val="24"/>
          <w:szCs w:val="24"/>
          <w:lang w:val="sq-AL"/>
        </w:rPr>
        <w:t>, nr. 38222 /02, § 71, 13 nëntor 2007).</w:t>
      </w:r>
    </w:p>
    <w:p w14:paraId="26AB850F"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20. Gjithashtu, Qeveria ftoi Gjykatën që të refuzojë kërkesën me arsyetimin se kërkuesit nuk i kishin shteruar mjetet juridike të brendshme, sepse ata duhej ta kishin adresuar çështjen në Zyrën e Regjistrimit të Pasurive të Paluajtshme. Gjykata vëren se kërkuesit kanë nisur disa procese, duke përfshirë edhe me Zyrën e Regjistrimit të Pasurive të Paluajtshme, për t’u ankuar në lidhje me mosekzekutimin nga autoritetet të vendimit të Komisionit. Prandaj, dhe pa cenuar pyetjen e efektivitetit të mjeteve juridike të pretenduara, kundërshtimi i Qeverisë në lidhje me kërkesën e shterimit të mjeteve juridike të brendshme duhet të rrëzohet.</w:t>
      </w:r>
    </w:p>
    <w:p w14:paraId="1D1C5A08"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21. Gjykata vëren se kjo ankesë nuk është e papranueshme për asnjë arsye tjetër dhe se, për rrjedhojë, ajo duhet të shpallet e pranueshme.</w:t>
      </w:r>
    </w:p>
    <w:p w14:paraId="63B6A69E" w14:textId="77777777" w:rsidR="00004ACD" w:rsidRPr="00934914" w:rsidRDefault="00004ACD" w:rsidP="000E7DF4">
      <w:pPr>
        <w:keepNext/>
        <w:keepLines/>
        <w:autoSpaceDE w:val="0"/>
        <w:autoSpaceDN w:val="0"/>
        <w:adjustRightInd w:val="0"/>
        <w:spacing w:after="0" w:line="240" w:lineRule="auto"/>
        <w:ind w:firstLine="284"/>
        <w:jc w:val="both"/>
        <w:rPr>
          <w:rFonts w:ascii="Garamond" w:hAnsi="Garamond" w:cs="Garamond"/>
          <w:b/>
          <w:bCs/>
          <w:color w:val="000000"/>
          <w:sz w:val="24"/>
          <w:szCs w:val="24"/>
          <w:lang w:val="sq-AL"/>
        </w:rPr>
      </w:pPr>
      <w:r w:rsidRPr="00934914">
        <w:rPr>
          <w:rFonts w:ascii="Garamond" w:hAnsi="Garamond" w:cs="Garamond"/>
          <w:b/>
          <w:bCs/>
          <w:color w:val="000000"/>
          <w:sz w:val="24"/>
          <w:szCs w:val="24"/>
          <w:lang w:val="sq-AL"/>
        </w:rPr>
        <w:t>A. Themeli</w:t>
      </w:r>
    </w:p>
    <w:p w14:paraId="7122E0B3" w14:textId="0F62E3C8"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22. Gjykata ka gjetur tashmë shkelje të ngjashme të nenit 1 të </w:t>
      </w:r>
      <w:r w:rsidR="00086A6A" w:rsidRPr="00934914">
        <w:rPr>
          <w:rFonts w:ascii="Garamond" w:hAnsi="Garamond" w:cs="Garamond"/>
          <w:color w:val="000000"/>
          <w:sz w:val="24"/>
          <w:szCs w:val="24"/>
          <w:lang w:val="sq-AL"/>
        </w:rPr>
        <w:t xml:space="preserve">protokollit </w:t>
      </w:r>
      <w:r w:rsidRPr="00934914">
        <w:rPr>
          <w:rFonts w:ascii="Garamond" w:hAnsi="Garamond" w:cs="Garamond"/>
          <w:color w:val="000000"/>
          <w:sz w:val="24"/>
          <w:szCs w:val="24"/>
          <w:lang w:val="sq-AL"/>
        </w:rPr>
        <w:t xml:space="preserve">nr. 1 të Konventës në çështje të tjera në lidhje me vonesat në ekzekutimin e vendimeve administrative të formës së prerë për pronësinë në lidhje me Shtetin e paditur (shihni, mes vendimeve të tjera, </w:t>
      </w:r>
      <w:proofErr w:type="spellStart"/>
      <w:r w:rsidRPr="00934914">
        <w:rPr>
          <w:rFonts w:ascii="Garamond" w:hAnsi="Garamond" w:cs="Garamond"/>
          <w:i/>
          <w:iCs/>
          <w:color w:val="000000"/>
          <w:sz w:val="24"/>
          <w:szCs w:val="24"/>
          <w:lang w:val="sq-AL"/>
        </w:rPr>
        <w:t>Ramadhi</w:t>
      </w:r>
      <w:proofErr w:type="spellEnd"/>
      <w:r w:rsidRPr="00934914">
        <w:rPr>
          <w:rFonts w:ascii="Garamond" w:hAnsi="Garamond" w:cs="Garamond"/>
          <w:i/>
          <w:iCs/>
          <w:color w:val="000000"/>
          <w:sz w:val="24"/>
          <w:szCs w:val="24"/>
          <w:lang w:val="sq-AL"/>
        </w:rPr>
        <w:t xml:space="preserve"> dhe të tjerë, </w:t>
      </w:r>
      <w:r w:rsidRPr="00934914">
        <w:rPr>
          <w:rFonts w:ascii="Garamond" w:hAnsi="Garamond" w:cs="Garamond"/>
          <w:color w:val="000000"/>
          <w:sz w:val="24"/>
          <w:szCs w:val="24"/>
          <w:lang w:val="sq-AL"/>
        </w:rPr>
        <w:t>cituar më lart, §§ 45</w:t>
      </w:r>
      <w:r w:rsidR="008E0E53">
        <w:rPr>
          <w:rFonts w:ascii="Garamond" w:hAnsi="Garamond" w:cs="Garamond"/>
          <w:color w:val="000000"/>
          <w:sz w:val="24"/>
          <w:szCs w:val="24"/>
          <w:lang w:val="sq-AL"/>
        </w:rPr>
        <w:t>–</w:t>
      </w:r>
      <w:r w:rsidRPr="00934914">
        <w:rPr>
          <w:rFonts w:ascii="Garamond" w:hAnsi="Garamond" w:cs="Garamond"/>
          <w:color w:val="000000"/>
          <w:sz w:val="24"/>
          <w:szCs w:val="24"/>
          <w:lang w:val="sq-AL"/>
        </w:rPr>
        <w:t>53 dhe 75</w:t>
      </w:r>
      <w:r w:rsidR="008E0E53">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84; </w:t>
      </w:r>
      <w:proofErr w:type="spellStart"/>
      <w:r w:rsidRPr="00934914">
        <w:rPr>
          <w:rFonts w:ascii="Garamond" w:hAnsi="Garamond" w:cs="Garamond"/>
          <w:i/>
          <w:iCs/>
          <w:color w:val="000000"/>
          <w:sz w:val="24"/>
          <w:szCs w:val="24"/>
          <w:lang w:val="sq-AL"/>
        </w:rPr>
        <w:t>Hamzaraj</w:t>
      </w:r>
      <w:proofErr w:type="spellEnd"/>
      <w:r w:rsidRPr="00934914">
        <w:rPr>
          <w:rFonts w:ascii="Garamond" w:hAnsi="Garamond" w:cs="Garamond"/>
          <w:i/>
          <w:iCs/>
          <w:color w:val="000000"/>
          <w:sz w:val="24"/>
          <w:szCs w:val="24"/>
          <w:lang w:val="sq-AL"/>
        </w:rPr>
        <w:t xml:space="preserve"> kundër Shqipërisë (nr. 1)</w:t>
      </w:r>
      <w:r w:rsidRPr="00934914">
        <w:rPr>
          <w:rFonts w:ascii="Garamond" w:hAnsi="Garamond" w:cs="Garamond"/>
          <w:color w:val="000000"/>
          <w:sz w:val="24"/>
          <w:szCs w:val="24"/>
          <w:lang w:val="sq-AL"/>
        </w:rPr>
        <w:t>, nr. 45264/04, §§ 24</w:t>
      </w:r>
      <w:r w:rsidR="008E0E53">
        <w:rPr>
          <w:rFonts w:ascii="Garamond" w:hAnsi="Garamond" w:cs="Garamond"/>
          <w:color w:val="000000"/>
          <w:sz w:val="24"/>
          <w:szCs w:val="24"/>
          <w:lang w:val="sq-AL"/>
        </w:rPr>
        <w:t>–</w:t>
      </w:r>
      <w:r w:rsidRPr="00934914">
        <w:rPr>
          <w:rFonts w:ascii="Garamond" w:hAnsi="Garamond" w:cs="Garamond"/>
          <w:color w:val="000000"/>
          <w:sz w:val="24"/>
          <w:szCs w:val="24"/>
          <w:lang w:val="sq-AL"/>
        </w:rPr>
        <w:t>27 dhe 38</w:t>
      </w:r>
      <w:r w:rsidR="008E0E53">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43, 3 shkurt 2009; dhe </w:t>
      </w:r>
      <w:r w:rsidRPr="00934914">
        <w:rPr>
          <w:rFonts w:ascii="Garamond" w:hAnsi="Garamond" w:cs="Garamond"/>
          <w:i/>
          <w:iCs/>
          <w:color w:val="000000"/>
          <w:sz w:val="24"/>
          <w:szCs w:val="24"/>
          <w:lang w:val="sq-AL"/>
        </w:rPr>
        <w:t>Nuri</w:t>
      </w:r>
      <w:r w:rsidRPr="00934914">
        <w:rPr>
          <w:rFonts w:ascii="Garamond" w:hAnsi="Garamond" w:cs="Garamond"/>
          <w:color w:val="000000"/>
          <w:sz w:val="24"/>
          <w:szCs w:val="24"/>
          <w:lang w:val="sq-AL"/>
        </w:rPr>
        <w:t xml:space="preserve"> </w:t>
      </w:r>
      <w:r w:rsidRPr="00934914">
        <w:rPr>
          <w:rFonts w:ascii="Garamond" w:hAnsi="Garamond" w:cs="Garamond"/>
          <w:i/>
          <w:iCs/>
          <w:color w:val="000000"/>
          <w:sz w:val="24"/>
          <w:szCs w:val="24"/>
          <w:lang w:val="sq-AL"/>
        </w:rPr>
        <w:t>kundër Shqipërisë</w:t>
      </w:r>
      <w:r w:rsidRPr="00934914">
        <w:rPr>
          <w:rFonts w:ascii="Garamond" w:hAnsi="Garamond" w:cs="Garamond"/>
          <w:color w:val="000000"/>
          <w:sz w:val="24"/>
          <w:szCs w:val="24"/>
          <w:lang w:val="sq-AL"/>
        </w:rPr>
        <w:t>, nr. 12306/04, §§ 26</w:t>
      </w:r>
      <w:r w:rsidR="008E0E53">
        <w:rPr>
          <w:rFonts w:ascii="Garamond" w:hAnsi="Garamond" w:cs="Garamond"/>
          <w:color w:val="000000"/>
          <w:sz w:val="24"/>
          <w:szCs w:val="24"/>
          <w:lang w:val="sq-AL"/>
        </w:rPr>
        <w:t>–</w:t>
      </w:r>
      <w:r w:rsidRPr="00934914">
        <w:rPr>
          <w:rFonts w:ascii="Garamond" w:hAnsi="Garamond" w:cs="Garamond"/>
          <w:color w:val="000000"/>
          <w:sz w:val="24"/>
          <w:szCs w:val="24"/>
          <w:lang w:val="sq-AL"/>
        </w:rPr>
        <w:t>29 dhe 35 40, 3 shkurt 2009). Prandaj, do të shqyrtojë nëse Qeveria ka bërë parashtresa të reja dhe relevante në çështjen në fjalë.</w:t>
      </w:r>
    </w:p>
    <w:p w14:paraId="6213230B"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23. Qeveria parashtroi se kërkuesit, duke mos bashkëpunuar me Zyrën e Regjistrimit të Pasurive të Paluajtshme dhe duke mos respektuar proceset ligjore përkatëse, kishin penguar zbatimin e të drejtave të tyre të pronës. Gjykata nuk e gjen këtë argument bindës, duke pasur parasysh se shkaku kryesor i mosekzekutimit ka qenë mungesa e kufijve të pronës në vendimin fillestar të Komisionit (shihni paragrafët 4, 7 dhe 11).</w:t>
      </w:r>
    </w:p>
    <w:p w14:paraId="13344C1E" w14:textId="34B635C6"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24. Rreziku i çdo gabimi të bërë nga një autoritet shtetëror duhet të përballohet nga Shteti dhe gabimet nuk duhet të korrigjohen në kurriz të personit të interesuar (shihni </w:t>
      </w:r>
      <w:proofErr w:type="spellStart"/>
      <w:r w:rsidRPr="00934914">
        <w:rPr>
          <w:rFonts w:ascii="Garamond" w:hAnsi="Garamond" w:cs="Garamond"/>
          <w:i/>
          <w:iCs/>
          <w:color w:val="000000"/>
          <w:sz w:val="24"/>
          <w:szCs w:val="24"/>
          <w:lang w:val="sq-AL"/>
        </w:rPr>
        <w:t>Lelas</w:t>
      </w:r>
      <w:proofErr w:type="spellEnd"/>
      <w:r w:rsidRPr="00934914">
        <w:rPr>
          <w:rFonts w:ascii="Garamond" w:hAnsi="Garamond" w:cs="Garamond"/>
          <w:i/>
          <w:iCs/>
          <w:color w:val="000000"/>
          <w:sz w:val="24"/>
          <w:szCs w:val="24"/>
          <w:lang w:val="sq-AL"/>
        </w:rPr>
        <w:t xml:space="preserve"> kundër Kroacisë</w:t>
      </w:r>
      <w:r w:rsidRPr="00934914">
        <w:rPr>
          <w:rFonts w:ascii="Garamond" w:hAnsi="Garamond" w:cs="Garamond"/>
          <w:color w:val="000000"/>
          <w:sz w:val="24"/>
          <w:szCs w:val="24"/>
          <w:lang w:val="sq-AL"/>
        </w:rPr>
        <w:t xml:space="preserve">, nr. 55555/08, § 74, 20 maj 2010). Në çështjen konkrete, kërkuesit filluan disa procese kundër palëve të treta ose autoriteteve publike për të mbrojtur dhe për të zbatuar të drejtat e tyre të pronës. Pavarësisht këtyre përpjekjeve, deri tani vendimi nuk është ekzekutuar. Gjykata vlerëson se detyrimi i Shtetit për t’u siguruar në mënyrë efektive kërkuesve të drejtën e tyre për gëzimin paqësor të pasurisë së tyre, siç e garanton neni 1 i </w:t>
      </w:r>
      <w:r w:rsidR="00F83AD4" w:rsidRPr="00934914">
        <w:rPr>
          <w:rFonts w:ascii="Garamond" w:hAnsi="Garamond" w:cs="Garamond"/>
          <w:color w:val="000000"/>
          <w:sz w:val="24"/>
          <w:szCs w:val="24"/>
          <w:lang w:val="sq-AL"/>
        </w:rPr>
        <w:t xml:space="preserve">protokollit </w:t>
      </w:r>
      <w:r w:rsidRPr="00934914">
        <w:rPr>
          <w:rFonts w:ascii="Garamond" w:hAnsi="Garamond" w:cs="Garamond"/>
          <w:color w:val="000000"/>
          <w:sz w:val="24"/>
          <w:szCs w:val="24"/>
          <w:lang w:val="sq-AL"/>
        </w:rPr>
        <w:t>nr.</w:t>
      </w:r>
      <w:r w:rsidR="00503FDE">
        <w:rPr>
          <w:rFonts w:ascii="Garamond" w:hAnsi="Garamond" w:cs="Garamond"/>
          <w:color w:val="000000"/>
          <w:sz w:val="24"/>
          <w:szCs w:val="24"/>
          <w:lang w:val="sq-AL"/>
        </w:rPr>
        <w:t xml:space="preserve"> </w:t>
      </w:r>
      <w:r w:rsidRPr="00934914">
        <w:rPr>
          <w:rFonts w:ascii="Garamond" w:hAnsi="Garamond" w:cs="Garamond"/>
          <w:color w:val="000000"/>
          <w:sz w:val="24"/>
          <w:szCs w:val="24"/>
          <w:lang w:val="sq-AL"/>
        </w:rPr>
        <w:t xml:space="preserve">1 kërkon që autoritetet kombëtare të ndërmarrin hapa praktikë për të siguruar ekzekutimin e vendimit të tyre në lidhje me kthimin e pronësisë. Nuk duket se janë ndërmarrë këto hapa, pavarësisht përpjekjeve të kërkuesve (shihni </w:t>
      </w:r>
      <w:r w:rsidRPr="00934914">
        <w:rPr>
          <w:rFonts w:ascii="Garamond" w:hAnsi="Garamond" w:cs="Garamond"/>
          <w:i/>
          <w:iCs/>
          <w:color w:val="000000"/>
          <w:sz w:val="24"/>
          <w:szCs w:val="24"/>
          <w:lang w:val="sq-AL"/>
        </w:rPr>
        <w:t>Nuri</w:t>
      </w:r>
      <w:r w:rsidRPr="00934914">
        <w:rPr>
          <w:rFonts w:ascii="Garamond" w:hAnsi="Garamond" w:cs="Garamond"/>
          <w:color w:val="000000"/>
          <w:sz w:val="24"/>
          <w:szCs w:val="24"/>
          <w:lang w:val="sq-AL"/>
        </w:rPr>
        <w:t>, cituar më lart, § 28).</w:t>
      </w:r>
    </w:p>
    <w:p w14:paraId="5858DCAF" w14:textId="3CEA20F9"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25.</w:t>
      </w:r>
      <w:r w:rsidRPr="00934914">
        <w:rPr>
          <w:rFonts w:ascii="Garamond" w:hAnsi="Garamond" w:cs="Garamond"/>
          <w:color w:val="000000"/>
          <w:sz w:val="24"/>
          <w:szCs w:val="24"/>
          <w:lang w:val="sq-AL"/>
        </w:rPr>
        <w:tab/>
        <w:t>Gjykata vlerëson se autoritetet kombëtare, duke mos i ekzekutuar vendimet e Komisionit të vitit 1994, pa ndonjë arsye bindëse, i lanë kërkuesit në një gjendje pasigurie për 29 vjet deri tani, në lidhje me realizimin e të drejtave të tyre të pronës. Për më tepër, Gjykata vëren se Qeveria nuk ka pretenduar që kërkuesit nuk kanë ndërmarrë asnjë hap sipas ligjit nr. 133/2015 (</w:t>
      </w:r>
      <w:r w:rsidR="008E0E53" w:rsidRPr="00934914">
        <w:rPr>
          <w:rFonts w:ascii="Garamond" w:hAnsi="Garamond" w:cs="Garamond"/>
          <w:color w:val="000000"/>
          <w:sz w:val="24"/>
          <w:szCs w:val="24"/>
          <w:lang w:val="sq-AL"/>
        </w:rPr>
        <w:t>ligji i pronës</w:t>
      </w:r>
      <w:r w:rsidRPr="00934914">
        <w:rPr>
          <w:rFonts w:ascii="Garamond" w:hAnsi="Garamond" w:cs="Garamond"/>
          <w:color w:val="000000"/>
          <w:sz w:val="24"/>
          <w:szCs w:val="24"/>
          <w:lang w:val="sq-AL"/>
        </w:rPr>
        <w:t xml:space="preserve">) (krahasoni </w:t>
      </w:r>
      <w:proofErr w:type="spellStart"/>
      <w:r w:rsidRPr="00934914">
        <w:rPr>
          <w:rFonts w:ascii="Garamond" w:hAnsi="Garamond" w:cs="Garamond"/>
          <w:i/>
          <w:iCs/>
          <w:color w:val="000000"/>
          <w:sz w:val="24"/>
          <w:szCs w:val="24"/>
          <w:lang w:val="sq-AL"/>
        </w:rPr>
        <w:t>Beshiri</w:t>
      </w:r>
      <w:proofErr w:type="spellEnd"/>
      <w:r w:rsidRPr="00934914">
        <w:rPr>
          <w:rFonts w:ascii="Garamond" w:hAnsi="Garamond" w:cs="Garamond"/>
          <w:i/>
          <w:iCs/>
          <w:color w:val="000000"/>
          <w:sz w:val="24"/>
          <w:szCs w:val="24"/>
          <w:lang w:val="sq-AL"/>
        </w:rPr>
        <w:t xml:space="preserve"> dhe të tjerët kundër Shqipërisë </w:t>
      </w:r>
      <w:r w:rsidRPr="00934914">
        <w:rPr>
          <w:rFonts w:ascii="Garamond" w:hAnsi="Garamond" w:cs="Garamond"/>
          <w:color w:val="000000"/>
          <w:sz w:val="24"/>
          <w:szCs w:val="24"/>
          <w:lang w:val="sq-AL"/>
        </w:rPr>
        <w:t>(vendim),</w:t>
      </w:r>
      <w:r w:rsidRPr="00934914">
        <w:rPr>
          <w:rFonts w:ascii="Garamond" w:hAnsi="Garamond" w:cs="Garamond"/>
          <w:i/>
          <w:iCs/>
          <w:color w:val="000000"/>
          <w:sz w:val="24"/>
          <w:szCs w:val="24"/>
          <w:lang w:val="sq-AL"/>
        </w:rPr>
        <w:t xml:space="preserve"> </w:t>
      </w:r>
      <w:r w:rsidRPr="00934914">
        <w:rPr>
          <w:rFonts w:ascii="Garamond" w:hAnsi="Garamond" w:cs="Garamond"/>
          <w:color w:val="000000"/>
          <w:sz w:val="24"/>
          <w:szCs w:val="24"/>
          <w:lang w:val="sq-AL"/>
        </w:rPr>
        <w:t>nr.</w:t>
      </w:r>
      <w:r w:rsidR="00FB18C5">
        <w:rPr>
          <w:rFonts w:ascii="Garamond" w:hAnsi="Garamond" w:cs="Garamond"/>
          <w:color w:val="000000"/>
          <w:sz w:val="24"/>
          <w:szCs w:val="24"/>
          <w:lang w:val="sq-AL"/>
        </w:rPr>
        <w:t xml:space="preserve"> </w:t>
      </w:r>
      <w:r w:rsidRPr="00934914">
        <w:rPr>
          <w:rFonts w:ascii="Garamond" w:hAnsi="Garamond" w:cs="Garamond"/>
          <w:color w:val="000000"/>
          <w:sz w:val="24"/>
          <w:szCs w:val="24"/>
          <w:lang w:val="sq-AL"/>
        </w:rPr>
        <w:t>29026/06 dhe 11 kërkesa të tjera, §§ 216</w:t>
      </w:r>
      <w:r w:rsidR="00F83AD4">
        <w:rPr>
          <w:rFonts w:ascii="Garamond" w:hAnsi="Garamond" w:cs="Garamond"/>
          <w:color w:val="000000"/>
          <w:sz w:val="24"/>
          <w:szCs w:val="24"/>
          <w:lang w:val="sq-AL"/>
        </w:rPr>
        <w:t>–</w:t>
      </w:r>
      <w:r w:rsidRPr="00934914">
        <w:rPr>
          <w:rFonts w:ascii="Garamond" w:hAnsi="Garamond" w:cs="Garamond"/>
          <w:color w:val="000000"/>
          <w:sz w:val="24"/>
          <w:szCs w:val="24"/>
          <w:lang w:val="sq-AL"/>
        </w:rPr>
        <w:t>18, 17 mars 2020).</w:t>
      </w:r>
    </w:p>
    <w:p w14:paraId="641711D8" w14:textId="093DC0AA"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lastRenderedPageBreak/>
        <w:t xml:space="preserve">26. Duke pasur parasysh sa më sipër, Gjykata arrin në përfundimin se kërkuesit duhej të mbanin një barrë </w:t>
      </w:r>
      <w:proofErr w:type="spellStart"/>
      <w:r w:rsidRPr="00934914">
        <w:rPr>
          <w:rFonts w:ascii="Garamond" w:hAnsi="Garamond" w:cs="Garamond"/>
          <w:color w:val="000000"/>
          <w:sz w:val="24"/>
          <w:szCs w:val="24"/>
          <w:lang w:val="sq-AL"/>
        </w:rPr>
        <w:t>joproporcionale</w:t>
      </w:r>
      <w:proofErr w:type="spellEnd"/>
      <w:r w:rsidRPr="00934914">
        <w:rPr>
          <w:rFonts w:ascii="Garamond" w:hAnsi="Garamond" w:cs="Garamond"/>
          <w:color w:val="000000"/>
          <w:sz w:val="24"/>
          <w:szCs w:val="24"/>
          <w:lang w:val="sq-AL"/>
        </w:rPr>
        <w:t xml:space="preserve"> dhe të tepruar. Në këto rrethana, konstatohet shkelje e nenit 1 të </w:t>
      </w:r>
      <w:r w:rsidR="00CF3227">
        <w:rPr>
          <w:rFonts w:ascii="Garamond" w:hAnsi="Garamond" w:cs="Garamond"/>
          <w:color w:val="000000"/>
          <w:sz w:val="24"/>
          <w:szCs w:val="24"/>
          <w:lang w:val="sq-AL"/>
        </w:rPr>
        <w:t>p</w:t>
      </w:r>
      <w:r w:rsidRPr="00934914">
        <w:rPr>
          <w:rFonts w:ascii="Garamond" w:hAnsi="Garamond" w:cs="Garamond"/>
          <w:color w:val="000000"/>
          <w:sz w:val="24"/>
          <w:szCs w:val="24"/>
          <w:lang w:val="sq-AL"/>
        </w:rPr>
        <w:t>rotokollit nr. 1 të Konventës.</w:t>
      </w:r>
    </w:p>
    <w:p w14:paraId="6414775D" w14:textId="77777777" w:rsidR="00004ACD" w:rsidRPr="00934914" w:rsidRDefault="00004ACD" w:rsidP="000E7DF4">
      <w:pPr>
        <w:keepNext/>
        <w:keepLines/>
        <w:tabs>
          <w:tab w:val="left" w:pos="440"/>
          <w:tab w:val="left" w:pos="520"/>
          <w:tab w:val="left" w:pos="560"/>
          <w:tab w:val="left" w:pos="620"/>
          <w:tab w:val="left" w:pos="700"/>
          <w:tab w:val="left" w:pos="780"/>
        </w:tabs>
        <w:autoSpaceDE w:val="0"/>
        <w:autoSpaceDN w:val="0"/>
        <w:adjustRightInd w:val="0"/>
        <w:spacing w:after="0" w:line="240" w:lineRule="auto"/>
        <w:ind w:firstLine="284"/>
        <w:jc w:val="both"/>
        <w:rPr>
          <w:rFonts w:ascii="Garamond" w:hAnsi="Garamond" w:cs="Garamond"/>
          <w:caps/>
          <w:color w:val="000000"/>
          <w:sz w:val="24"/>
          <w:szCs w:val="24"/>
          <w:lang w:val="sq-AL"/>
        </w:rPr>
      </w:pPr>
      <w:proofErr w:type="spellStart"/>
      <w:r w:rsidRPr="00934914">
        <w:rPr>
          <w:rFonts w:ascii="Garamond" w:hAnsi="Garamond" w:cs="Garamond"/>
          <w:caps/>
          <w:color w:val="000000"/>
          <w:sz w:val="24"/>
          <w:szCs w:val="24"/>
          <w:lang w:val="sq-AL"/>
        </w:rPr>
        <w:t>II</w:t>
      </w:r>
      <w:proofErr w:type="spellEnd"/>
      <w:r w:rsidRPr="00934914">
        <w:rPr>
          <w:rFonts w:ascii="Garamond" w:hAnsi="Garamond" w:cs="Garamond"/>
          <w:caps/>
          <w:color w:val="000000"/>
          <w:sz w:val="24"/>
          <w:szCs w:val="24"/>
          <w:lang w:val="sq-AL"/>
        </w:rPr>
        <w:t>. SHKELJA E PRETENDUAR E NENIT 14</w:t>
      </w:r>
    </w:p>
    <w:p w14:paraId="00341A35" w14:textId="77777777"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27. Kërkuesit paraqitën një ankesë sipas nenit 14 të Konventës me pretendimin se ata janë diskriminuar për gëzimin e të drejtave të tyre të pronës.</w:t>
      </w:r>
    </w:p>
    <w:p w14:paraId="69DE1A8C" w14:textId="6DE0657D" w:rsidR="00004ACD" w:rsidRPr="00934914" w:rsidRDefault="00004ACD" w:rsidP="000E7DF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28. Gjykata nuk gjen asnjë të dhënë që kërkuesit të jenë diskriminuar për ndonjë nga shkaqet sipas nenit 14 të Konventës. Prandaj, kjo ankesë është qartazi e pabazuar dhe duhet të</w:t>
      </w:r>
      <w:bookmarkStart w:id="0" w:name="_GoBack"/>
      <w:bookmarkEnd w:id="0"/>
      <w:r w:rsidRPr="00934914">
        <w:rPr>
          <w:rFonts w:ascii="Garamond" w:hAnsi="Garamond" w:cs="Garamond"/>
          <w:color w:val="000000"/>
          <w:sz w:val="24"/>
          <w:szCs w:val="24"/>
          <w:lang w:val="sq-AL"/>
        </w:rPr>
        <w:t xml:space="preserve"> refuzohet në përputhje me </w:t>
      </w:r>
      <w:r w:rsidR="00B753C0" w:rsidRPr="00934914">
        <w:rPr>
          <w:rFonts w:ascii="Garamond" w:hAnsi="Garamond" w:cs="Garamond"/>
          <w:color w:val="000000"/>
          <w:sz w:val="24"/>
          <w:szCs w:val="24"/>
          <w:lang w:val="sq-AL"/>
        </w:rPr>
        <w:t>paragraf</w:t>
      </w:r>
      <w:r w:rsidR="00B753C0">
        <w:rPr>
          <w:rFonts w:ascii="Garamond" w:hAnsi="Garamond" w:cs="Garamond"/>
          <w:color w:val="000000"/>
          <w:sz w:val="24"/>
          <w:szCs w:val="24"/>
          <w:lang w:val="sq-AL"/>
        </w:rPr>
        <w:t>ët</w:t>
      </w:r>
      <w:r w:rsidRPr="00934914">
        <w:rPr>
          <w:rFonts w:ascii="Garamond" w:hAnsi="Garamond" w:cs="Garamond"/>
          <w:color w:val="000000"/>
          <w:sz w:val="24"/>
          <w:szCs w:val="24"/>
          <w:lang w:val="sq-AL"/>
        </w:rPr>
        <w:t xml:space="preserve"> 3 (a) dhe 4 të nenit 35 të Konventës.</w:t>
      </w:r>
    </w:p>
    <w:p w14:paraId="08AD6F04" w14:textId="77777777" w:rsidR="00004ACD" w:rsidRPr="00934914" w:rsidRDefault="00004ACD" w:rsidP="000E7DF4">
      <w:pPr>
        <w:keepNext/>
        <w:keepLines/>
        <w:autoSpaceDE w:val="0"/>
        <w:autoSpaceDN w:val="0"/>
        <w:adjustRightInd w:val="0"/>
        <w:spacing w:after="0" w:line="240" w:lineRule="auto"/>
        <w:ind w:firstLine="284"/>
        <w:jc w:val="both"/>
        <w:rPr>
          <w:rFonts w:ascii="Garamond" w:hAnsi="Garamond" w:cs="Garamond"/>
          <w:caps/>
          <w:color w:val="000000"/>
          <w:sz w:val="24"/>
          <w:szCs w:val="24"/>
          <w:lang w:val="sq-AL"/>
        </w:rPr>
      </w:pPr>
      <w:r w:rsidRPr="00934914">
        <w:rPr>
          <w:rFonts w:ascii="Garamond" w:hAnsi="Garamond" w:cs="Garamond"/>
          <w:color w:val="000000"/>
          <w:sz w:val="24"/>
          <w:szCs w:val="24"/>
          <w:lang w:val="sq-AL"/>
        </w:rPr>
        <w:t>ZBATIMI I NENIT 41 TË KONVENTËS</w:t>
      </w:r>
    </w:p>
    <w:p w14:paraId="1C77DB05" w14:textId="77777777" w:rsidR="006E1335" w:rsidRDefault="00004ACD" w:rsidP="000E7DF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29. Kërkuesit pretenduan 810,579 euro (</w:t>
      </w:r>
      <w:proofErr w:type="spellStart"/>
      <w:r w:rsidRPr="00934914">
        <w:rPr>
          <w:rFonts w:ascii="Garamond" w:hAnsi="Garamond" w:cs="Garamond"/>
          <w:color w:val="000000"/>
          <w:sz w:val="24"/>
          <w:szCs w:val="24"/>
          <w:lang w:val="sq-AL"/>
        </w:rPr>
        <w:t>EUR</w:t>
      </w:r>
      <w:proofErr w:type="spellEnd"/>
      <w:r w:rsidRPr="00934914">
        <w:rPr>
          <w:rFonts w:ascii="Garamond" w:hAnsi="Garamond" w:cs="Garamond"/>
          <w:color w:val="000000"/>
          <w:sz w:val="24"/>
          <w:szCs w:val="24"/>
          <w:lang w:val="sq-AL"/>
        </w:rPr>
        <w:t xml:space="preserve">) që korrespondonin me vlerën e pronës, si dhe 533,326 euro për humbje fitimi. Ata kërkuan 20,000 </w:t>
      </w:r>
      <w:proofErr w:type="spellStart"/>
      <w:r w:rsidRPr="00934914">
        <w:rPr>
          <w:rFonts w:ascii="Garamond" w:hAnsi="Garamond" w:cs="Garamond"/>
          <w:color w:val="000000"/>
          <w:sz w:val="24"/>
          <w:szCs w:val="24"/>
          <w:lang w:val="sq-AL"/>
        </w:rPr>
        <w:t>EUR</w:t>
      </w:r>
      <w:proofErr w:type="spellEnd"/>
      <w:r w:rsidRPr="00934914">
        <w:rPr>
          <w:rFonts w:ascii="Garamond" w:hAnsi="Garamond" w:cs="Garamond"/>
          <w:color w:val="000000"/>
          <w:sz w:val="24"/>
          <w:szCs w:val="24"/>
          <w:lang w:val="sq-AL"/>
        </w:rPr>
        <w:t xml:space="preserve"> për dëmin </w:t>
      </w:r>
      <w:proofErr w:type="spellStart"/>
      <w:r w:rsidRPr="00934914">
        <w:rPr>
          <w:rFonts w:ascii="Garamond" w:hAnsi="Garamond" w:cs="Garamond"/>
          <w:color w:val="000000"/>
          <w:sz w:val="24"/>
          <w:szCs w:val="24"/>
          <w:lang w:val="sq-AL"/>
        </w:rPr>
        <w:t>jopasuror</w:t>
      </w:r>
      <w:proofErr w:type="spellEnd"/>
      <w:r w:rsidRPr="00934914">
        <w:rPr>
          <w:rFonts w:ascii="Garamond" w:hAnsi="Garamond" w:cs="Garamond"/>
          <w:color w:val="000000"/>
          <w:sz w:val="24"/>
          <w:szCs w:val="24"/>
          <w:lang w:val="sq-AL"/>
        </w:rPr>
        <w:t>. Në fund, ata kërkuan 4,770 euro për kostot dhe shpenzimet e bëra për gjykatat e brendshme dhe për ato të bëra për Gjykatën.</w:t>
      </w:r>
    </w:p>
    <w:p w14:paraId="00889B83" w14:textId="3CDCFAC0" w:rsidR="00004ACD" w:rsidRPr="00934914" w:rsidRDefault="00004ACD" w:rsidP="000E7DF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30. Qeveria parashtroi se hartat e vlerës së pronave bazuar në </w:t>
      </w:r>
      <w:proofErr w:type="spellStart"/>
      <w:r w:rsidRPr="00934914">
        <w:rPr>
          <w:rFonts w:ascii="Garamond" w:hAnsi="Garamond" w:cs="Garamond"/>
          <w:color w:val="000000"/>
          <w:sz w:val="24"/>
          <w:szCs w:val="24"/>
          <w:lang w:val="sq-AL"/>
        </w:rPr>
        <w:t>VKM</w:t>
      </w:r>
      <w:proofErr w:type="spellEnd"/>
      <w:r w:rsidR="006D2788">
        <w:rPr>
          <w:rFonts w:ascii="Garamond" w:hAnsi="Garamond" w:cs="Garamond"/>
          <w:color w:val="000000"/>
          <w:sz w:val="24"/>
          <w:szCs w:val="24"/>
          <w:lang w:val="sq-AL"/>
        </w:rPr>
        <w:t>-</w:t>
      </w:r>
      <w:r w:rsidR="006D2788" w:rsidRPr="00934914">
        <w:rPr>
          <w:rFonts w:ascii="Garamond" w:hAnsi="Garamond" w:cs="Garamond"/>
          <w:color w:val="000000"/>
          <w:sz w:val="24"/>
          <w:szCs w:val="24"/>
          <w:lang w:val="sq-AL"/>
        </w:rPr>
        <w:t>në</w:t>
      </w:r>
      <w:r w:rsidRPr="00934914">
        <w:rPr>
          <w:rFonts w:ascii="Garamond" w:hAnsi="Garamond" w:cs="Garamond"/>
          <w:color w:val="000000"/>
          <w:sz w:val="24"/>
          <w:szCs w:val="24"/>
          <w:lang w:val="sq-AL"/>
        </w:rPr>
        <w:t xml:space="preserve"> nr. 139 të 13 shkurtit 2008 jepnin çmime më të ulëta.</w:t>
      </w:r>
    </w:p>
    <w:p w14:paraId="13C2A6C4" w14:textId="77777777" w:rsidR="00004ACD" w:rsidRPr="00934914" w:rsidRDefault="00004ACD" w:rsidP="000E7DF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31. Së pari, Gjykata vëren se, pavarësisht pranimit nga ana e Qeverisë që një pjesë e parcelës me sipërfaqe 17,560 </w:t>
      </w:r>
      <w:proofErr w:type="spellStart"/>
      <w:r w:rsidRPr="00934914">
        <w:rPr>
          <w:rFonts w:ascii="Garamond" w:hAnsi="Garamond" w:cs="Garamond"/>
          <w:color w:val="000000"/>
          <w:sz w:val="24"/>
          <w:szCs w:val="24"/>
          <w:lang w:val="sq-AL"/>
        </w:rPr>
        <w:t>m</w:t>
      </w:r>
      <w:r w:rsidRPr="003D0CDA">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xml:space="preserve">, ku duhej të kufizohej parcela e kërkuesve prej 13,310 </w:t>
      </w:r>
      <w:proofErr w:type="spellStart"/>
      <w:r w:rsidRPr="00934914">
        <w:rPr>
          <w:rFonts w:ascii="Garamond" w:hAnsi="Garamond" w:cs="Garamond"/>
          <w:color w:val="000000"/>
          <w:sz w:val="24"/>
          <w:szCs w:val="24"/>
          <w:lang w:val="sq-AL"/>
        </w:rPr>
        <w:t>m</w:t>
      </w:r>
      <w:r w:rsidRPr="003D0CDA">
        <w:rPr>
          <w:rFonts w:ascii="Garamond" w:hAnsi="Garamond" w:cs="Garamond"/>
          <w:color w:val="000000"/>
          <w:sz w:val="24"/>
          <w:szCs w:val="24"/>
          <w:vertAlign w:val="superscript"/>
          <w:lang w:val="sq-AL"/>
        </w:rPr>
        <w:t>2</w:t>
      </w:r>
      <w:proofErr w:type="spellEnd"/>
      <w:r w:rsidRPr="00934914">
        <w:rPr>
          <w:rFonts w:ascii="Garamond" w:hAnsi="Garamond" w:cs="Garamond"/>
          <w:color w:val="000000"/>
          <w:sz w:val="24"/>
          <w:szCs w:val="24"/>
          <w:lang w:val="sq-AL"/>
        </w:rPr>
        <w:t>, ishte e zënë nga palë të treta, nuk ka asnjë informacion përfundimtar në lidhje me shtrirjen e kësaj sipërfaqeje të zënë.</w:t>
      </w:r>
    </w:p>
    <w:p w14:paraId="2D846D32" w14:textId="3CA3B091" w:rsidR="00004ACD" w:rsidRPr="00934914" w:rsidRDefault="00004ACD" w:rsidP="000E7DF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32. Duke pasur parasysh gjetjet e saj në çështjen në fjalë, Gjykata vlerëson se forma më e përshtatshme e korrigjimit do të ishte përcaktimi i kufijve të parcelës së tokës dhe regjistrimi i titullit të pronësisë së kërkuesve (shihni paragrafët 24</w:t>
      </w:r>
      <w:r w:rsidR="00E74095">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25 më lart; shihni edhe </w:t>
      </w:r>
      <w:proofErr w:type="spellStart"/>
      <w:r w:rsidRPr="00934914">
        <w:rPr>
          <w:rFonts w:ascii="Garamond" w:hAnsi="Garamond" w:cs="Garamond"/>
          <w:i/>
          <w:iCs/>
          <w:color w:val="000000"/>
          <w:sz w:val="24"/>
          <w:szCs w:val="24"/>
          <w:lang w:val="sq-AL"/>
        </w:rPr>
        <w:t>Ramadhi</w:t>
      </w:r>
      <w:proofErr w:type="spellEnd"/>
      <w:r w:rsidRPr="00934914">
        <w:rPr>
          <w:rFonts w:ascii="Garamond" w:hAnsi="Garamond" w:cs="Garamond"/>
          <w:i/>
          <w:iCs/>
          <w:color w:val="000000"/>
          <w:sz w:val="24"/>
          <w:szCs w:val="24"/>
          <w:lang w:val="sq-AL"/>
        </w:rPr>
        <w:t xml:space="preserve"> dhe të tjerë, </w:t>
      </w:r>
      <w:r w:rsidRPr="00934914">
        <w:rPr>
          <w:rFonts w:ascii="Garamond" w:hAnsi="Garamond" w:cs="Garamond"/>
          <w:color w:val="000000"/>
          <w:sz w:val="24"/>
          <w:szCs w:val="24"/>
          <w:lang w:val="sq-AL"/>
        </w:rPr>
        <w:t>cituar më lart, §§ 98</w:t>
      </w:r>
      <w:r w:rsidR="00533DE8">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101; </w:t>
      </w:r>
      <w:proofErr w:type="spellStart"/>
      <w:r w:rsidRPr="00934914">
        <w:rPr>
          <w:rFonts w:ascii="Garamond" w:hAnsi="Garamond" w:cs="Garamond"/>
          <w:i/>
          <w:iCs/>
          <w:color w:val="000000"/>
          <w:sz w:val="24"/>
          <w:szCs w:val="24"/>
          <w:lang w:val="sq-AL"/>
        </w:rPr>
        <w:t>Tchitchinadze</w:t>
      </w:r>
      <w:proofErr w:type="spellEnd"/>
      <w:r w:rsidRPr="00934914">
        <w:rPr>
          <w:rFonts w:ascii="Garamond" w:hAnsi="Garamond" w:cs="Garamond"/>
          <w:i/>
          <w:iCs/>
          <w:color w:val="000000"/>
          <w:sz w:val="24"/>
          <w:szCs w:val="24"/>
          <w:lang w:val="sq-AL"/>
        </w:rPr>
        <w:t xml:space="preserve"> kundër Gjeorgjisë</w:t>
      </w:r>
      <w:r w:rsidRPr="00934914">
        <w:rPr>
          <w:rFonts w:ascii="Garamond" w:hAnsi="Garamond" w:cs="Garamond"/>
          <w:color w:val="000000"/>
          <w:sz w:val="24"/>
          <w:szCs w:val="24"/>
          <w:lang w:val="sq-AL"/>
        </w:rPr>
        <w:t>, nr. 18156/05, § 69, 27 maj 2010; </w:t>
      </w:r>
      <w:r w:rsidRPr="00934914">
        <w:rPr>
          <w:rFonts w:ascii="Garamond" w:hAnsi="Garamond" w:cs="Garamond"/>
          <w:i/>
          <w:iCs/>
          <w:color w:val="000000"/>
          <w:sz w:val="24"/>
          <w:szCs w:val="24"/>
          <w:lang w:val="sq-AL"/>
        </w:rPr>
        <w:t xml:space="preserve">Fener Rum </w:t>
      </w:r>
      <w:proofErr w:type="spellStart"/>
      <w:r w:rsidRPr="00934914">
        <w:rPr>
          <w:rFonts w:ascii="Garamond" w:hAnsi="Garamond" w:cs="Garamond"/>
          <w:i/>
          <w:iCs/>
          <w:color w:val="000000"/>
          <w:sz w:val="24"/>
          <w:szCs w:val="24"/>
          <w:lang w:val="sq-AL"/>
        </w:rPr>
        <w:t>Patrikliği</w:t>
      </w:r>
      <w:proofErr w:type="spellEnd"/>
      <w:r w:rsidRPr="00934914">
        <w:rPr>
          <w:rFonts w:ascii="Garamond" w:hAnsi="Garamond" w:cs="Garamond"/>
          <w:i/>
          <w:iCs/>
          <w:color w:val="000000"/>
          <w:sz w:val="24"/>
          <w:szCs w:val="24"/>
          <w:lang w:val="sq-AL"/>
        </w:rPr>
        <w:t xml:space="preserve"> (</w:t>
      </w:r>
      <w:proofErr w:type="spellStart"/>
      <w:r w:rsidRPr="00934914">
        <w:rPr>
          <w:rFonts w:ascii="Garamond" w:hAnsi="Garamond" w:cs="Garamond"/>
          <w:i/>
          <w:iCs/>
          <w:color w:val="000000"/>
          <w:sz w:val="24"/>
          <w:szCs w:val="24"/>
          <w:lang w:val="sq-AL"/>
        </w:rPr>
        <w:t>Ecumenical</w:t>
      </w:r>
      <w:proofErr w:type="spellEnd"/>
      <w:r w:rsidRPr="00934914">
        <w:rPr>
          <w:rFonts w:ascii="Garamond" w:hAnsi="Garamond" w:cs="Garamond"/>
          <w:i/>
          <w:iCs/>
          <w:color w:val="000000"/>
          <w:sz w:val="24"/>
          <w:szCs w:val="24"/>
          <w:lang w:val="sq-AL"/>
        </w:rPr>
        <w:t xml:space="preserve"> </w:t>
      </w:r>
      <w:proofErr w:type="spellStart"/>
      <w:r w:rsidRPr="00934914">
        <w:rPr>
          <w:rFonts w:ascii="Garamond" w:hAnsi="Garamond" w:cs="Garamond"/>
          <w:i/>
          <w:iCs/>
          <w:color w:val="000000"/>
          <w:sz w:val="24"/>
          <w:szCs w:val="24"/>
          <w:lang w:val="sq-AL"/>
        </w:rPr>
        <w:t>Patriarchy</w:t>
      </w:r>
      <w:proofErr w:type="spellEnd"/>
      <w:r w:rsidRPr="00934914">
        <w:rPr>
          <w:rFonts w:ascii="Garamond" w:hAnsi="Garamond" w:cs="Garamond"/>
          <w:i/>
          <w:iCs/>
          <w:color w:val="000000"/>
          <w:sz w:val="24"/>
          <w:szCs w:val="24"/>
          <w:lang w:val="sq-AL"/>
        </w:rPr>
        <w:t>) kundër Turqisë</w:t>
      </w:r>
      <w:r w:rsidRPr="00934914">
        <w:rPr>
          <w:rFonts w:ascii="Garamond" w:hAnsi="Garamond" w:cs="Garamond"/>
          <w:color w:val="000000"/>
          <w:sz w:val="24"/>
          <w:szCs w:val="24"/>
          <w:lang w:val="sq-AL"/>
        </w:rPr>
        <w:t> (shpërblimi i drejtë), nr. 14340/05, § 35, 15 qershor 2010; dhe </w:t>
      </w:r>
      <w:proofErr w:type="spellStart"/>
      <w:r w:rsidRPr="00934914">
        <w:rPr>
          <w:rFonts w:ascii="Garamond" w:hAnsi="Garamond" w:cs="Garamond"/>
          <w:i/>
          <w:iCs/>
          <w:color w:val="000000"/>
          <w:sz w:val="24"/>
          <w:szCs w:val="24"/>
          <w:lang w:val="sq-AL"/>
        </w:rPr>
        <w:t>Stoycheva</w:t>
      </w:r>
      <w:proofErr w:type="spellEnd"/>
      <w:r w:rsidRPr="00934914">
        <w:rPr>
          <w:rFonts w:ascii="Garamond" w:hAnsi="Garamond" w:cs="Garamond"/>
          <w:i/>
          <w:iCs/>
          <w:color w:val="000000"/>
          <w:sz w:val="24"/>
          <w:szCs w:val="24"/>
          <w:lang w:val="sq-AL"/>
        </w:rPr>
        <w:t xml:space="preserve"> kundër Bullgarisë</w:t>
      </w:r>
      <w:r w:rsidRPr="00934914">
        <w:rPr>
          <w:rFonts w:ascii="Garamond" w:hAnsi="Garamond" w:cs="Garamond"/>
          <w:color w:val="000000"/>
          <w:sz w:val="24"/>
          <w:szCs w:val="24"/>
          <w:lang w:val="sq-AL"/>
        </w:rPr>
        <w:t>, nr. 43590/04, §§ 75</w:t>
      </w:r>
      <w:r w:rsidR="00B5103D">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76, 19 korrik 2011). Kështu, kërkuesit do të viheshin sa më shumë që të ishte e mundur në një situatë të njëjtë me atë ku do të kishin qenë nëse nuk do të ishin shkelur të drejtat e tyre sipas Konventës (krahasoni me </w:t>
      </w:r>
      <w:proofErr w:type="spellStart"/>
      <w:r w:rsidRPr="00934914">
        <w:rPr>
          <w:rFonts w:ascii="Garamond" w:hAnsi="Garamond" w:cs="Garamond"/>
          <w:i/>
          <w:iCs/>
          <w:color w:val="000000"/>
          <w:sz w:val="24"/>
          <w:szCs w:val="24"/>
          <w:lang w:val="sq-AL"/>
        </w:rPr>
        <w:t>Gladysheva</w:t>
      </w:r>
      <w:proofErr w:type="spellEnd"/>
      <w:r w:rsidRPr="00934914">
        <w:rPr>
          <w:rFonts w:ascii="Garamond" w:hAnsi="Garamond" w:cs="Garamond"/>
          <w:i/>
          <w:iCs/>
          <w:color w:val="000000"/>
          <w:sz w:val="24"/>
          <w:szCs w:val="24"/>
          <w:lang w:val="sq-AL"/>
        </w:rPr>
        <w:t xml:space="preserve"> kundër Rusisë</w:t>
      </w:r>
      <w:r w:rsidRPr="00934914">
        <w:rPr>
          <w:rFonts w:ascii="Garamond" w:hAnsi="Garamond" w:cs="Garamond"/>
          <w:color w:val="000000"/>
          <w:sz w:val="24"/>
          <w:szCs w:val="24"/>
          <w:lang w:val="sq-AL"/>
        </w:rPr>
        <w:t>, nr. 7097/10, § 106, 6 dhjetor 2011). Nëse Qeveria nuk mund të sigurojë këtë regjistrim, tërësisht ose pjesërisht, kërkuesit duhet të marrin kompensimin e duhur (krahasoni me </w:t>
      </w:r>
      <w:proofErr w:type="spellStart"/>
      <w:r w:rsidRPr="00934914">
        <w:rPr>
          <w:rFonts w:ascii="Garamond" w:hAnsi="Garamond" w:cs="Garamond"/>
          <w:i/>
          <w:iCs/>
          <w:color w:val="000000"/>
          <w:sz w:val="24"/>
          <w:szCs w:val="24"/>
          <w:lang w:val="sq-AL"/>
        </w:rPr>
        <w:t>Brumărescu</w:t>
      </w:r>
      <w:proofErr w:type="spellEnd"/>
      <w:r w:rsidRPr="00934914">
        <w:rPr>
          <w:rFonts w:ascii="Garamond" w:hAnsi="Garamond" w:cs="Garamond"/>
          <w:i/>
          <w:iCs/>
          <w:color w:val="000000"/>
          <w:sz w:val="24"/>
          <w:szCs w:val="24"/>
          <w:lang w:val="sq-AL"/>
        </w:rPr>
        <w:t xml:space="preserve"> kundër Rumanisë</w:t>
      </w:r>
      <w:r w:rsidRPr="00934914">
        <w:rPr>
          <w:rFonts w:ascii="Garamond" w:hAnsi="Garamond" w:cs="Garamond"/>
          <w:color w:val="000000"/>
          <w:sz w:val="24"/>
          <w:szCs w:val="24"/>
          <w:lang w:val="sq-AL"/>
        </w:rPr>
        <w:t> (shpërblimi i drejtë) [</w:t>
      </w:r>
      <w:proofErr w:type="spellStart"/>
      <w:r w:rsidRPr="00934914">
        <w:rPr>
          <w:rFonts w:ascii="Garamond" w:hAnsi="Garamond" w:cs="Garamond"/>
          <w:color w:val="000000"/>
          <w:sz w:val="24"/>
          <w:szCs w:val="24"/>
          <w:lang w:val="sq-AL"/>
        </w:rPr>
        <w:t>DHM</w:t>
      </w:r>
      <w:proofErr w:type="spellEnd"/>
      <w:r w:rsidRPr="00934914">
        <w:rPr>
          <w:rFonts w:ascii="Garamond" w:hAnsi="Garamond" w:cs="Garamond"/>
          <w:color w:val="000000"/>
          <w:sz w:val="24"/>
          <w:szCs w:val="24"/>
          <w:lang w:val="sq-AL"/>
        </w:rPr>
        <w:t xml:space="preserve">], nr. 28342/95, §§ 19 24, </w:t>
      </w:r>
      <w:proofErr w:type="spellStart"/>
      <w:r w:rsidRPr="00934914">
        <w:rPr>
          <w:rFonts w:ascii="Garamond" w:hAnsi="Garamond" w:cs="Garamond"/>
          <w:color w:val="000000"/>
          <w:sz w:val="24"/>
          <w:szCs w:val="24"/>
          <w:lang w:val="sq-AL"/>
        </w:rPr>
        <w:t>GJEDNJ</w:t>
      </w:r>
      <w:proofErr w:type="spellEnd"/>
      <w:r w:rsidRPr="00934914">
        <w:rPr>
          <w:rFonts w:ascii="Garamond" w:hAnsi="Garamond" w:cs="Garamond"/>
          <w:color w:val="000000"/>
          <w:sz w:val="24"/>
          <w:szCs w:val="24"/>
          <w:lang w:val="sq-AL"/>
        </w:rPr>
        <w:t xml:space="preserve"> 2001 I, dhe shihni </w:t>
      </w:r>
      <w:proofErr w:type="spellStart"/>
      <w:r w:rsidRPr="00934914">
        <w:rPr>
          <w:rFonts w:ascii="Garamond" w:hAnsi="Garamond" w:cs="Garamond"/>
          <w:i/>
          <w:iCs/>
          <w:color w:val="000000"/>
          <w:sz w:val="24"/>
          <w:szCs w:val="24"/>
          <w:lang w:val="sq-AL"/>
        </w:rPr>
        <w:t>Beshiri</w:t>
      </w:r>
      <w:proofErr w:type="spellEnd"/>
      <w:r w:rsidRPr="00934914">
        <w:rPr>
          <w:rFonts w:ascii="Garamond" w:hAnsi="Garamond" w:cs="Garamond"/>
          <w:i/>
          <w:iCs/>
          <w:color w:val="000000"/>
          <w:sz w:val="24"/>
          <w:szCs w:val="24"/>
          <w:lang w:val="sq-AL"/>
        </w:rPr>
        <w:t xml:space="preserve"> dhe të tjerët</w:t>
      </w:r>
      <w:r w:rsidRPr="00934914">
        <w:rPr>
          <w:rFonts w:ascii="Garamond" w:hAnsi="Garamond" w:cs="Garamond"/>
          <w:color w:val="000000"/>
          <w:sz w:val="24"/>
          <w:szCs w:val="24"/>
          <w:lang w:val="sq-AL"/>
        </w:rPr>
        <w:t>, të cituar më lart, §§ 189</w:t>
      </w:r>
      <w:r w:rsidR="001857D7">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203, për vlerësimin e </w:t>
      </w:r>
      <w:proofErr w:type="spellStart"/>
      <w:r w:rsidRPr="00934914">
        <w:rPr>
          <w:rFonts w:ascii="Garamond" w:hAnsi="Garamond" w:cs="Garamond"/>
          <w:color w:val="000000"/>
          <w:sz w:val="24"/>
          <w:szCs w:val="24"/>
          <w:lang w:val="sq-AL"/>
        </w:rPr>
        <w:t>mjaftueshmërisë</w:t>
      </w:r>
      <w:proofErr w:type="spellEnd"/>
      <w:r w:rsidRPr="00934914">
        <w:rPr>
          <w:rFonts w:ascii="Garamond" w:hAnsi="Garamond" w:cs="Garamond"/>
          <w:color w:val="000000"/>
          <w:sz w:val="24"/>
          <w:szCs w:val="24"/>
          <w:lang w:val="sq-AL"/>
        </w:rPr>
        <w:t xml:space="preserve"> së kompensimit).</w:t>
      </w:r>
    </w:p>
    <w:p w14:paraId="4C5DDAC9" w14:textId="77777777" w:rsidR="00004ACD" w:rsidRPr="00934914" w:rsidRDefault="00004ACD" w:rsidP="000E7DF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33. Gjykata vlerëson se pretendimi i kërkuesve për humbje fitimi duhet të refuzohet, pasi ata nuk arritën të shtjellonin këtë pretendim dhe të specifikonin llojin e fitimit që kishin humbur (krahasoni </w:t>
      </w:r>
      <w:proofErr w:type="spellStart"/>
      <w:r w:rsidRPr="00934914">
        <w:rPr>
          <w:rFonts w:ascii="Garamond" w:hAnsi="Garamond" w:cs="Garamond"/>
          <w:i/>
          <w:iCs/>
          <w:color w:val="000000"/>
          <w:sz w:val="24"/>
          <w:szCs w:val="24"/>
          <w:lang w:val="sq-AL"/>
        </w:rPr>
        <w:t>Vrioni</w:t>
      </w:r>
      <w:proofErr w:type="spellEnd"/>
      <w:r w:rsidRPr="00934914">
        <w:rPr>
          <w:rFonts w:ascii="Garamond" w:hAnsi="Garamond" w:cs="Garamond"/>
          <w:i/>
          <w:iCs/>
          <w:color w:val="000000"/>
          <w:sz w:val="24"/>
          <w:szCs w:val="24"/>
          <w:lang w:val="sq-AL"/>
        </w:rPr>
        <w:t xml:space="preserve"> dhe të tjerët</w:t>
      </w:r>
      <w:r w:rsidRPr="00934914">
        <w:rPr>
          <w:rFonts w:ascii="Garamond" w:hAnsi="Garamond" w:cs="Garamond"/>
          <w:color w:val="000000"/>
          <w:sz w:val="24"/>
          <w:szCs w:val="24"/>
          <w:lang w:val="sq-AL"/>
        </w:rPr>
        <w:t>, cituar më lart, § 38).</w:t>
      </w:r>
    </w:p>
    <w:p w14:paraId="479F3B61" w14:textId="77777777" w:rsidR="00004ACD" w:rsidRPr="00934914" w:rsidRDefault="00004ACD" w:rsidP="000E7DF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34. Gjykata pranon gjithashtu se kërkuesit duhet të kenë pësuar dëm </w:t>
      </w:r>
      <w:proofErr w:type="spellStart"/>
      <w:r w:rsidRPr="00934914">
        <w:rPr>
          <w:rFonts w:ascii="Garamond" w:hAnsi="Garamond" w:cs="Garamond"/>
          <w:color w:val="000000"/>
          <w:sz w:val="24"/>
          <w:szCs w:val="24"/>
          <w:lang w:val="sq-AL"/>
        </w:rPr>
        <w:t>jopasuror</w:t>
      </w:r>
      <w:proofErr w:type="spellEnd"/>
      <w:r w:rsidRPr="00934914">
        <w:rPr>
          <w:rFonts w:ascii="Garamond" w:hAnsi="Garamond" w:cs="Garamond"/>
          <w:color w:val="000000"/>
          <w:sz w:val="24"/>
          <w:szCs w:val="24"/>
          <w:lang w:val="sq-AL"/>
        </w:rPr>
        <w:t xml:space="preserve"> dhe e sheh me vend t’u caktojë atyre 3000 euro bashkërisht nën këtë zë, plus çdo taksë që mund të ngarkohet.</w:t>
      </w:r>
    </w:p>
    <w:p w14:paraId="42B5DF0A" w14:textId="77777777" w:rsidR="00004ACD" w:rsidRPr="00934914" w:rsidRDefault="00004ACD" w:rsidP="00E8054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35. Në lidhje me kostot dhe shpenzimet për gjykatat e brendshme dhe Gjykatën, Gjykata refuzon pretendimin për kosto dhe shpenzime në procese gjyqësore të brendshme dhe e konsideron të arsyeshme të caktojë shumën 2000 </w:t>
      </w:r>
      <w:proofErr w:type="spellStart"/>
      <w:r w:rsidRPr="00934914">
        <w:rPr>
          <w:rFonts w:ascii="Garamond" w:hAnsi="Garamond" w:cs="Garamond"/>
          <w:color w:val="000000"/>
          <w:sz w:val="24"/>
          <w:szCs w:val="24"/>
          <w:lang w:val="sq-AL"/>
        </w:rPr>
        <w:t>EUR</w:t>
      </w:r>
      <w:proofErr w:type="spellEnd"/>
      <w:r w:rsidRPr="00934914">
        <w:rPr>
          <w:rFonts w:ascii="Garamond" w:hAnsi="Garamond" w:cs="Garamond"/>
          <w:color w:val="000000"/>
          <w:sz w:val="24"/>
          <w:szCs w:val="24"/>
          <w:lang w:val="sq-AL"/>
        </w:rPr>
        <w:t>, së bashku, për proceset në Gjykatë, plus çdo taksë që mund t’i ngarkohet kërkuesve.</w:t>
      </w:r>
    </w:p>
    <w:p w14:paraId="09330178" w14:textId="77777777" w:rsidR="00CC5711" w:rsidRDefault="00CC5711" w:rsidP="00E80544">
      <w:pPr>
        <w:keepNext/>
        <w:autoSpaceDE w:val="0"/>
        <w:autoSpaceDN w:val="0"/>
        <w:adjustRightInd w:val="0"/>
        <w:spacing w:after="0" w:line="240" w:lineRule="auto"/>
        <w:ind w:firstLine="284"/>
        <w:jc w:val="both"/>
        <w:rPr>
          <w:rFonts w:ascii="Garamond" w:hAnsi="Garamond" w:cs="Garamond"/>
          <w:caps/>
          <w:color w:val="000000"/>
          <w:sz w:val="24"/>
          <w:szCs w:val="24"/>
          <w:lang w:val="sq-AL"/>
        </w:rPr>
      </w:pPr>
    </w:p>
    <w:p w14:paraId="563A6490" w14:textId="7D719376" w:rsidR="00004ACD" w:rsidRPr="00934914" w:rsidRDefault="00004ACD" w:rsidP="00CC5711">
      <w:pPr>
        <w:keepNext/>
        <w:autoSpaceDE w:val="0"/>
        <w:autoSpaceDN w:val="0"/>
        <w:adjustRightInd w:val="0"/>
        <w:spacing w:after="0" w:line="240" w:lineRule="auto"/>
        <w:ind w:firstLine="284"/>
        <w:jc w:val="center"/>
        <w:rPr>
          <w:rFonts w:ascii="Garamond" w:hAnsi="Garamond" w:cs="Garamond"/>
          <w:caps/>
          <w:color w:val="000000"/>
          <w:sz w:val="24"/>
          <w:szCs w:val="24"/>
          <w:lang w:val="sq-AL"/>
        </w:rPr>
      </w:pPr>
      <w:r w:rsidRPr="00934914">
        <w:rPr>
          <w:rFonts w:ascii="Garamond" w:hAnsi="Garamond" w:cs="Garamond"/>
          <w:caps/>
          <w:color w:val="000000"/>
          <w:sz w:val="24"/>
          <w:szCs w:val="24"/>
          <w:lang w:val="sq-AL"/>
        </w:rPr>
        <w:t xml:space="preserve">PËR KËTO ARSYE, GJYKATA, ME </w:t>
      </w:r>
      <w:proofErr w:type="spellStart"/>
      <w:r w:rsidRPr="00934914">
        <w:rPr>
          <w:rFonts w:ascii="Garamond" w:hAnsi="Garamond" w:cs="Garamond"/>
          <w:caps/>
          <w:color w:val="000000"/>
          <w:sz w:val="24"/>
          <w:szCs w:val="24"/>
          <w:lang w:val="sq-AL"/>
        </w:rPr>
        <w:t>UNANIMITET</w:t>
      </w:r>
      <w:proofErr w:type="spellEnd"/>
      <w:r w:rsidRPr="00934914">
        <w:rPr>
          <w:rFonts w:ascii="Garamond" w:hAnsi="Garamond" w:cs="Garamond"/>
          <w:caps/>
          <w:color w:val="000000"/>
          <w:sz w:val="24"/>
          <w:szCs w:val="24"/>
          <w:lang w:val="sq-AL"/>
        </w:rPr>
        <w:t>,</w:t>
      </w:r>
    </w:p>
    <w:p w14:paraId="22066B14" w14:textId="77777777" w:rsidR="00CC5711" w:rsidRDefault="00CC5711" w:rsidP="00E80544">
      <w:pPr>
        <w:tabs>
          <w:tab w:val="left" w:pos="340"/>
        </w:tabs>
        <w:autoSpaceDE w:val="0"/>
        <w:autoSpaceDN w:val="0"/>
        <w:adjustRightInd w:val="0"/>
        <w:spacing w:after="0" w:line="240" w:lineRule="auto"/>
        <w:ind w:firstLine="284"/>
        <w:jc w:val="both"/>
        <w:rPr>
          <w:rFonts w:ascii="Garamond" w:hAnsi="Garamond" w:cs="Garamond"/>
          <w:i/>
          <w:iCs/>
          <w:color w:val="000000"/>
          <w:sz w:val="24"/>
          <w:szCs w:val="24"/>
          <w:lang w:val="sq-AL"/>
        </w:rPr>
      </w:pPr>
    </w:p>
    <w:p w14:paraId="1930D1AA" w14:textId="2BB33F3C" w:rsidR="00004ACD" w:rsidRPr="00934914" w:rsidRDefault="00004ACD" w:rsidP="00E80544">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i/>
          <w:iCs/>
          <w:color w:val="000000"/>
          <w:sz w:val="24"/>
          <w:szCs w:val="24"/>
          <w:lang w:val="sq-AL"/>
        </w:rPr>
        <w:t>1. shpall</w:t>
      </w:r>
      <w:r w:rsidRPr="00934914">
        <w:rPr>
          <w:rFonts w:ascii="Garamond" w:hAnsi="Garamond" w:cs="Garamond"/>
          <w:color w:val="000000"/>
          <w:sz w:val="24"/>
          <w:szCs w:val="24"/>
          <w:lang w:val="sq-AL"/>
        </w:rPr>
        <w:t xml:space="preserve"> të pranueshëm ankimin në lidhje me nenin 1 të </w:t>
      </w:r>
      <w:r w:rsidR="005858F8">
        <w:rPr>
          <w:rFonts w:ascii="Garamond" w:hAnsi="Garamond" w:cs="Garamond"/>
          <w:color w:val="000000"/>
          <w:sz w:val="24"/>
          <w:szCs w:val="24"/>
          <w:lang w:val="sq-AL"/>
        </w:rPr>
        <w:t>p</w:t>
      </w:r>
      <w:r w:rsidRPr="00934914">
        <w:rPr>
          <w:rFonts w:ascii="Garamond" w:hAnsi="Garamond" w:cs="Garamond"/>
          <w:color w:val="000000"/>
          <w:sz w:val="24"/>
          <w:szCs w:val="24"/>
          <w:lang w:val="sq-AL"/>
        </w:rPr>
        <w:t xml:space="preserve">rotokollit nr. 1 për parcelën e tokës me sipërfaqe 13,310 </w:t>
      </w:r>
      <w:proofErr w:type="spellStart"/>
      <w:r w:rsidRPr="00934914">
        <w:rPr>
          <w:rFonts w:ascii="Garamond" w:hAnsi="Garamond" w:cs="Garamond"/>
          <w:color w:val="000000"/>
          <w:sz w:val="24"/>
          <w:szCs w:val="24"/>
          <w:lang w:val="sq-AL"/>
        </w:rPr>
        <w:t>m</w:t>
      </w:r>
      <w:r w:rsidRPr="00CC5711">
        <w:rPr>
          <w:rFonts w:ascii="Garamond" w:hAnsi="Garamond" w:cs="Garamond"/>
          <w:color w:val="000000"/>
          <w:sz w:val="24"/>
          <w:szCs w:val="24"/>
          <w:vertAlign w:val="superscript"/>
          <w:lang w:val="sq-AL"/>
        </w:rPr>
        <w:t>2</w:t>
      </w:r>
      <w:proofErr w:type="spellEnd"/>
      <w:r w:rsidRPr="00CC5711">
        <w:rPr>
          <w:rFonts w:ascii="Garamond" w:hAnsi="Garamond" w:cs="Garamond"/>
          <w:color w:val="000000"/>
          <w:sz w:val="24"/>
          <w:szCs w:val="24"/>
          <w:vertAlign w:val="superscript"/>
          <w:lang w:val="sq-AL"/>
        </w:rPr>
        <w:t xml:space="preserve"> </w:t>
      </w:r>
      <w:r w:rsidRPr="00934914">
        <w:rPr>
          <w:rFonts w:ascii="Garamond" w:hAnsi="Garamond" w:cs="Garamond"/>
          <w:color w:val="000000"/>
          <w:sz w:val="24"/>
          <w:szCs w:val="24"/>
          <w:lang w:val="sq-AL"/>
        </w:rPr>
        <w:t>dhe të papranueshëm pjesën tjetër të ankimit;</w:t>
      </w:r>
    </w:p>
    <w:p w14:paraId="00E82913" w14:textId="0823D2B6" w:rsidR="00004ACD" w:rsidRPr="00934914" w:rsidRDefault="00004ACD" w:rsidP="00E80544">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i/>
          <w:iCs/>
          <w:color w:val="000000"/>
          <w:sz w:val="24"/>
          <w:szCs w:val="24"/>
          <w:lang w:val="sq-AL"/>
        </w:rPr>
        <w:t>2. vendos</w:t>
      </w:r>
      <w:r w:rsidRPr="00934914">
        <w:rPr>
          <w:rFonts w:ascii="Garamond" w:hAnsi="Garamond" w:cs="Garamond"/>
          <w:color w:val="000000"/>
          <w:sz w:val="24"/>
          <w:szCs w:val="24"/>
          <w:lang w:val="sq-AL"/>
        </w:rPr>
        <w:t xml:space="preserve"> se është shkelur neni 1 i </w:t>
      </w:r>
      <w:r w:rsidR="00CC5711">
        <w:rPr>
          <w:rFonts w:ascii="Garamond" w:hAnsi="Garamond" w:cs="Garamond"/>
          <w:color w:val="000000"/>
          <w:sz w:val="24"/>
          <w:szCs w:val="24"/>
          <w:lang w:val="sq-AL"/>
        </w:rPr>
        <w:t>p</w:t>
      </w:r>
      <w:r w:rsidRPr="00934914">
        <w:rPr>
          <w:rFonts w:ascii="Garamond" w:hAnsi="Garamond" w:cs="Garamond"/>
          <w:color w:val="000000"/>
          <w:sz w:val="24"/>
          <w:szCs w:val="24"/>
          <w:lang w:val="sq-AL"/>
        </w:rPr>
        <w:t>rotokollit nr.</w:t>
      </w:r>
      <w:r w:rsidR="00CC5711">
        <w:rPr>
          <w:rFonts w:ascii="Garamond" w:hAnsi="Garamond" w:cs="Garamond"/>
          <w:color w:val="000000"/>
          <w:sz w:val="24"/>
          <w:szCs w:val="24"/>
          <w:lang w:val="sq-AL"/>
        </w:rPr>
        <w:t xml:space="preserve"> </w:t>
      </w:r>
      <w:r w:rsidRPr="00934914">
        <w:rPr>
          <w:rFonts w:ascii="Garamond" w:hAnsi="Garamond" w:cs="Garamond"/>
          <w:color w:val="000000"/>
          <w:sz w:val="24"/>
          <w:szCs w:val="24"/>
          <w:lang w:val="sq-AL"/>
        </w:rPr>
        <w:t>1 të Konventës;</w:t>
      </w:r>
    </w:p>
    <w:p w14:paraId="657C67DC" w14:textId="77777777" w:rsidR="00004ACD" w:rsidRPr="00934914" w:rsidRDefault="00004ACD" w:rsidP="00E80544">
      <w:pPr>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i/>
          <w:iCs/>
          <w:color w:val="000000"/>
          <w:sz w:val="24"/>
          <w:szCs w:val="24"/>
          <w:lang w:val="sq-AL"/>
        </w:rPr>
        <w:t>3. vendos</w:t>
      </w:r>
      <w:r w:rsidRPr="00934914">
        <w:rPr>
          <w:rFonts w:ascii="Garamond" w:hAnsi="Garamond" w:cs="Garamond"/>
          <w:color w:val="000000"/>
          <w:sz w:val="24"/>
          <w:szCs w:val="24"/>
          <w:lang w:val="sq-AL"/>
        </w:rPr>
        <w:t>,</w:t>
      </w:r>
    </w:p>
    <w:p w14:paraId="70A95855" w14:textId="53F36B45" w:rsidR="00004ACD" w:rsidRPr="00934914" w:rsidRDefault="00004ACD" w:rsidP="00E80544">
      <w:pPr>
        <w:tabs>
          <w:tab w:val="left" w:pos="68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lastRenderedPageBreak/>
        <w:t xml:space="preserve">a) që Shteti i paditur të sigurojë brenda tre muajve regjistrimin e titullit të pronësisë së kërkuesve. Nëse nuk bëhet regjistrimi, tërësisht ose pjesërisht, shteti i </w:t>
      </w:r>
      <w:r w:rsidR="005858F8">
        <w:rPr>
          <w:rFonts w:ascii="Garamond" w:hAnsi="Garamond" w:cs="Garamond"/>
          <w:color w:val="000000"/>
          <w:sz w:val="24"/>
          <w:szCs w:val="24"/>
          <w:lang w:val="sq-AL"/>
        </w:rPr>
        <w:t>p</w:t>
      </w:r>
      <w:r w:rsidRPr="00934914">
        <w:rPr>
          <w:rFonts w:ascii="Garamond" w:hAnsi="Garamond" w:cs="Garamond"/>
          <w:color w:val="000000"/>
          <w:sz w:val="24"/>
          <w:szCs w:val="24"/>
          <w:lang w:val="sq-AL"/>
        </w:rPr>
        <w:t>aditur t’i paguajë bashkërisht tre kërkuesve, brenda dymbëdhjetë muajve, kompensimin e duhur;</w:t>
      </w:r>
    </w:p>
    <w:p w14:paraId="2BAEB263" w14:textId="77777777" w:rsidR="00004ACD" w:rsidRPr="00934914" w:rsidRDefault="00004ACD" w:rsidP="00E80544">
      <w:pPr>
        <w:tabs>
          <w:tab w:val="left" w:pos="68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b) që Shteti i paditur t’i paguajë kërkuesve bashkërisht, brenda tre muajve, shumat e mëposhtme,</w:t>
      </w:r>
      <w:r w:rsidRPr="00934914">
        <w:rPr>
          <w:rFonts w:ascii="Garamond" w:hAnsi="Garamond" w:cs="Garamond"/>
          <w:b/>
          <w:bCs/>
          <w:color w:val="000000"/>
          <w:sz w:val="24"/>
          <w:szCs w:val="24"/>
          <w:lang w:val="sq-AL"/>
        </w:rPr>
        <w:t xml:space="preserve"> </w:t>
      </w:r>
      <w:r w:rsidRPr="00934914">
        <w:rPr>
          <w:rFonts w:ascii="Garamond" w:hAnsi="Garamond" w:cs="Garamond"/>
          <w:color w:val="000000"/>
          <w:sz w:val="24"/>
          <w:szCs w:val="24"/>
          <w:lang w:val="sq-AL"/>
        </w:rPr>
        <w:t>që do të konvertohen në monedhën e Shtetit të paditur me kursin e këmbimit në fuqi në datën e shlyerjes:</w:t>
      </w:r>
    </w:p>
    <w:p w14:paraId="67FE3D07" w14:textId="6DE0657A" w:rsidR="00004ACD" w:rsidRPr="00934914" w:rsidRDefault="00004ACD" w:rsidP="00E8054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i</w:t>
      </w:r>
      <w:r w:rsidR="00E77114">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 3.000 euro (tre mijë euro) për dëmin </w:t>
      </w:r>
      <w:proofErr w:type="spellStart"/>
      <w:r w:rsidRPr="00934914">
        <w:rPr>
          <w:rFonts w:ascii="Garamond" w:hAnsi="Garamond" w:cs="Garamond"/>
          <w:color w:val="000000"/>
          <w:sz w:val="24"/>
          <w:szCs w:val="24"/>
          <w:lang w:val="sq-AL"/>
        </w:rPr>
        <w:t>jopasuror</w:t>
      </w:r>
      <w:proofErr w:type="spellEnd"/>
      <w:r w:rsidRPr="00934914">
        <w:rPr>
          <w:rFonts w:ascii="Garamond" w:hAnsi="Garamond" w:cs="Garamond"/>
          <w:color w:val="000000"/>
          <w:sz w:val="24"/>
          <w:szCs w:val="24"/>
          <w:lang w:val="sq-AL"/>
        </w:rPr>
        <w:t>, plus çdo taksë që mund t’u ngarkohet;</w:t>
      </w:r>
    </w:p>
    <w:p w14:paraId="1F78372C" w14:textId="61C0DFF3" w:rsidR="00004ACD" w:rsidRPr="00934914" w:rsidRDefault="00004ACD" w:rsidP="00E80544">
      <w:pPr>
        <w:autoSpaceDE w:val="0"/>
        <w:autoSpaceDN w:val="0"/>
        <w:adjustRightInd w:val="0"/>
        <w:spacing w:after="0" w:line="240" w:lineRule="auto"/>
        <w:ind w:firstLine="284"/>
        <w:jc w:val="both"/>
        <w:rPr>
          <w:rFonts w:ascii="Garamond" w:hAnsi="Garamond" w:cs="Garamond"/>
          <w:color w:val="000000"/>
          <w:sz w:val="24"/>
          <w:szCs w:val="24"/>
          <w:lang w:val="sq-AL"/>
        </w:rPr>
      </w:pPr>
      <w:proofErr w:type="spellStart"/>
      <w:r w:rsidRPr="00934914">
        <w:rPr>
          <w:rFonts w:ascii="Garamond" w:hAnsi="Garamond" w:cs="Garamond"/>
          <w:color w:val="000000"/>
          <w:sz w:val="24"/>
          <w:szCs w:val="24"/>
          <w:lang w:val="sq-AL"/>
        </w:rPr>
        <w:t>ii</w:t>
      </w:r>
      <w:proofErr w:type="spellEnd"/>
      <w:r w:rsidR="00E77114">
        <w:rPr>
          <w:rFonts w:ascii="Garamond" w:hAnsi="Garamond" w:cs="Garamond"/>
          <w:color w:val="000000"/>
          <w:sz w:val="24"/>
          <w:szCs w:val="24"/>
          <w:lang w:val="sq-AL"/>
        </w:rPr>
        <w:t>.</w:t>
      </w:r>
      <w:r w:rsidRPr="00934914">
        <w:rPr>
          <w:rFonts w:ascii="Garamond" w:hAnsi="Garamond" w:cs="Garamond"/>
          <w:color w:val="000000"/>
          <w:sz w:val="24"/>
          <w:szCs w:val="24"/>
          <w:lang w:val="sq-AL"/>
        </w:rPr>
        <w:t xml:space="preserve"> 2.000 euro (dy mijë euro) për kostot dhe shpenzimet, plus çdo taksë që mund t’u ngarkohet kërkuesve;</w:t>
      </w:r>
    </w:p>
    <w:p w14:paraId="61E94F9A" w14:textId="24175BA1" w:rsidR="00004ACD" w:rsidRPr="00934914" w:rsidRDefault="00004ACD" w:rsidP="00E80544">
      <w:pPr>
        <w:tabs>
          <w:tab w:val="left" w:pos="68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c) nga mbarimi i afatit tre mujor të sipërpërmendur deri në shlyerje, interes i thjeshtë të paguhet për shumat e mësipërme sipas normës të njëjtë me normën </w:t>
      </w:r>
      <w:proofErr w:type="spellStart"/>
      <w:r w:rsidRPr="00934914">
        <w:rPr>
          <w:rFonts w:ascii="Garamond" w:hAnsi="Garamond" w:cs="Garamond"/>
          <w:color w:val="000000"/>
          <w:sz w:val="24"/>
          <w:szCs w:val="24"/>
          <w:lang w:val="sq-AL"/>
        </w:rPr>
        <w:t>marxhinale</w:t>
      </w:r>
      <w:proofErr w:type="spellEnd"/>
      <w:r w:rsidRPr="00934914">
        <w:rPr>
          <w:rFonts w:ascii="Garamond" w:hAnsi="Garamond" w:cs="Garamond"/>
          <w:color w:val="000000"/>
          <w:sz w:val="24"/>
          <w:szCs w:val="24"/>
          <w:lang w:val="sq-AL"/>
        </w:rPr>
        <w:t xml:space="preserve"> të kreditimit të Bankës Qendrore E</w:t>
      </w:r>
      <w:r w:rsidR="003962FE">
        <w:rPr>
          <w:rFonts w:ascii="Garamond" w:hAnsi="Garamond" w:cs="Garamond"/>
          <w:color w:val="000000"/>
          <w:sz w:val="24"/>
          <w:szCs w:val="24"/>
          <w:lang w:val="sq-AL"/>
        </w:rPr>
        <w:t>v</w:t>
      </w:r>
      <w:r w:rsidRPr="00934914">
        <w:rPr>
          <w:rFonts w:ascii="Garamond" w:hAnsi="Garamond" w:cs="Garamond"/>
          <w:color w:val="000000"/>
          <w:sz w:val="24"/>
          <w:szCs w:val="24"/>
          <w:lang w:val="sq-AL"/>
        </w:rPr>
        <w:t>ropiane gjatë periudhës së mospagimit plus tr</w:t>
      </w:r>
      <w:r w:rsidR="008F7E6D">
        <w:rPr>
          <w:rFonts w:ascii="Garamond" w:hAnsi="Garamond" w:cs="Garamond"/>
          <w:color w:val="000000"/>
          <w:sz w:val="24"/>
          <w:szCs w:val="24"/>
          <w:lang w:val="sq-AL"/>
        </w:rPr>
        <w:t>i</w:t>
      </w:r>
      <w:r w:rsidRPr="00934914">
        <w:rPr>
          <w:rFonts w:ascii="Garamond" w:hAnsi="Garamond" w:cs="Garamond"/>
          <w:color w:val="000000"/>
          <w:sz w:val="24"/>
          <w:szCs w:val="24"/>
          <w:lang w:val="sq-AL"/>
        </w:rPr>
        <w:t xml:space="preserve"> pikë përqindje;</w:t>
      </w:r>
    </w:p>
    <w:p w14:paraId="4E9F9EC3" w14:textId="77777777" w:rsidR="00004ACD" w:rsidRPr="00934914" w:rsidRDefault="00004ACD" w:rsidP="00E80544">
      <w:pPr>
        <w:keepNext/>
        <w:keepLines/>
        <w:tabs>
          <w:tab w:val="left" w:pos="34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i/>
          <w:iCs/>
          <w:color w:val="000000"/>
          <w:sz w:val="24"/>
          <w:szCs w:val="24"/>
          <w:lang w:val="sq-AL"/>
        </w:rPr>
        <w:t>4. rrëzon</w:t>
      </w:r>
      <w:r w:rsidRPr="00934914">
        <w:rPr>
          <w:rFonts w:ascii="Garamond" w:hAnsi="Garamond" w:cs="Garamond"/>
          <w:color w:val="000000"/>
          <w:sz w:val="24"/>
          <w:szCs w:val="24"/>
          <w:lang w:val="sq-AL"/>
        </w:rPr>
        <w:t xml:space="preserve"> pjesën tjetër të kërkesës së kërkuesve për kompensim të drejtë.</w:t>
      </w:r>
    </w:p>
    <w:p w14:paraId="5C9A742F" w14:textId="659037A1" w:rsidR="00004ACD" w:rsidRPr="00934914" w:rsidRDefault="00004ACD" w:rsidP="00E8054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 xml:space="preserve">Bërë në gjuhën angleze dhe njoftuar me shkrim më 5 mars 2024 sipas </w:t>
      </w:r>
      <w:r w:rsidR="00CC5711">
        <w:rPr>
          <w:rFonts w:ascii="Garamond" w:hAnsi="Garamond" w:cs="Garamond"/>
          <w:color w:val="000000"/>
          <w:sz w:val="24"/>
          <w:szCs w:val="24"/>
          <w:lang w:val="sq-AL"/>
        </w:rPr>
        <w:t>r</w:t>
      </w:r>
      <w:r w:rsidRPr="00934914">
        <w:rPr>
          <w:rFonts w:ascii="Garamond" w:hAnsi="Garamond" w:cs="Garamond"/>
          <w:color w:val="000000"/>
          <w:sz w:val="24"/>
          <w:szCs w:val="24"/>
          <w:lang w:val="sq-AL"/>
        </w:rPr>
        <w:t>regullit 77 §§ 2 dhe 3 të Rregullores së Gjykatës.</w:t>
      </w:r>
    </w:p>
    <w:p w14:paraId="2C6804A5" w14:textId="77777777" w:rsidR="00004ACD" w:rsidRPr="00934914" w:rsidRDefault="00004ACD" w:rsidP="00E80544">
      <w:pPr>
        <w:keepNext/>
        <w:tabs>
          <w:tab w:val="center" w:pos="1400"/>
          <w:tab w:val="center" w:pos="5940"/>
        </w:tabs>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552"/>
      </w:tblGrid>
      <w:tr w:rsidR="00E80544" w:rsidRPr="00934914" w14:paraId="100C5C9E" w14:textId="77777777" w:rsidTr="00CC5711">
        <w:tc>
          <w:tcPr>
            <w:tcW w:w="2830" w:type="dxa"/>
          </w:tcPr>
          <w:p w14:paraId="2D86F20D" w14:textId="77777777" w:rsidR="00E80544" w:rsidRPr="00934914" w:rsidRDefault="00E80544" w:rsidP="00E80544">
            <w:pPr>
              <w:keepNext/>
              <w:tabs>
                <w:tab w:val="left" w:pos="2547"/>
                <w:tab w:val="left" w:pos="5524"/>
              </w:tabs>
              <w:autoSpaceDE w:val="0"/>
              <w:autoSpaceDN w:val="0"/>
              <w:adjustRightInd w:val="0"/>
              <w:rPr>
                <w:rFonts w:ascii="Garamond" w:hAnsi="Garamond" w:cs="Garamond"/>
                <w:color w:val="000000"/>
                <w:sz w:val="24"/>
                <w:szCs w:val="24"/>
                <w:lang w:val="sq-AL"/>
              </w:rPr>
            </w:pPr>
            <w:proofErr w:type="spellStart"/>
            <w:r w:rsidRPr="00934914">
              <w:rPr>
                <w:rFonts w:ascii="Garamond" w:hAnsi="Garamond" w:cs="Garamond"/>
                <w:color w:val="000000"/>
                <w:sz w:val="24"/>
                <w:szCs w:val="24"/>
                <w:lang w:val="sq-AL"/>
              </w:rPr>
              <w:t>Olga</w:t>
            </w:r>
            <w:proofErr w:type="spellEnd"/>
            <w:r w:rsidRPr="00934914">
              <w:rPr>
                <w:rFonts w:ascii="Garamond" w:hAnsi="Garamond" w:cs="Garamond"/>
                <w:color w:val="000000"/>
                <w:sz w:val="24"/>
                <w:szCs w:val="24"/>
                <w:lang w:val="sq-AL"/>
              </w:rPr>
              <w:t xml:space="preserve"> </w:t>
            </w:r>
            <w:proofErr w:type="spellStart"/>
            <w:r w:rsidRPr="00934914">
              <w:rPr>
                <w:rFonts w:ascii="Garamond" w:hAnsi="Garamond" w:cs="Garamond"/>
                <w:color w:val="000000"/>
                <w:sz w:val="24"/>
                <w:szCs w:val="24"/>
                <w:lang w:val="sq-AL"/>
              </w:rPr>
              <w:t>Chernishova</w:t>
            </w:r>
            <w:proofErr w:type="spellEnd"/>
          </w:p>
        </w:tc>
        <w:tc>
          <w:tcPr>
            <w:tcW w:w="2552" w:type="dxa"/>
          </w:tcPr>
          <w:p w14:paraId="2D00BAD6" w14:textId="77777777" w:rsidR="00E80544" w:rsidRPr="00934914" w:rsidRDefault="00E80544" w:rsidP="00E80544">
            <w:pPr>
              <w:keepNext/>
              <w:tabs>
                <w:tab w:val="left" w:pos="2547"/>
                <w:tab w:val="left" w:pos="5524"/>
              </w:tabs>
              <w:autoSpaceDE w:val="0"/>
              <w:autoSpaceDN w:val="0"/>
              <w:adjustRightInd w:val="0"/>
              <w:rPr>
                <w:rFonts w:ascii="Garamond" w:hAnsi="Garamond" w:cs="Garamond"/>
                <w:color w:val="000000"/>
                <w:sz w:val="24"/>
                <w:szCs w:val="24"/>
                <w:lang w:val="sq-AL"/>
              </w:rPr>
            </w:pPr>
            <w:proofErr w:type="spellStart"/>
            <w:r w:rsidRPr="00934914">
              <w:rPr>
                <w:rFonts w:ascii="Garamond" w:hAnsi="Garamond" w:cs="Garamond"/>
                <w:color w:val="000000"/>
                <w:sz w:val="24"/>
                <w:szCs w:val="24"/>
                <w:lang w:val="sq-AL"/>
              </w:rPr>
              <w:t>Georgios</w:t>
            </w:r>
            <w:proofErr w:type="spellEnd"/>
            <w:r w:rsidRPr="00934914">
              <w:rPr>
                <w:rFonts w:ascii="Garamond" w:hAnsi="Garamond" w:cs="Garamond"/>
                <w:color w:val="000000"/>
                <w:sz w:val="24"/>
                <w:szCs w:val="24"/>
                <w:lang w:val="sq-AL"/>
              </w:rPr>
              <w:t xml:space="preserve"> A. </w:t>
            </w:r>
            <w:proofErr w:type="spellStart"/>
            <w:r w:rsidRPr="00934914">
              <w:rPr>
                <w:rFonts w:ascii="Garamond" w:hAnsi="Garamond" w:cs="Garamond"/>
                <w:color w:val="000000"/>
                <w:sz w:val="24"/>
                <w:szCs w:val="24"/>
                <w:lang w:val="sq-AL"/>
              </w:rPr>
              <w:t>Serghides</w:t>
            </w:r>
            <w:proofErr w:type="spellEnd"/>
          </w:p>
        </w:tc>
      </w:tr>
      <w:tr w:rsidR="00E80544" w:rsidRPr="008F7E6D" w14:paraId="3B2D3E4B" w14:textId="77777777" w:rsidTr="00CC5711">
        <w:tc>
          <w:tcPr>
            <w:tcW w:w="2830" w:type="dxa"/>
          </w:tcPr>
          <w:p w14:paraId="4549C7B4" w14:textId="323EBC66" w:rsidR="00E80544" w:rsidRPr="008F7E6D" w:rsidRDefault="00E80544" w:rsidP="00E80544">
            <w:pPr>
              <w:keepNext/>
              <w:tabs>
                <w:tab w:val="left" w:pos="2547"/>
                <w:tab w:val="left" w:pos="5524"/>
              </w:tabs>
              <w:autoSpaceDE w:val="0"/>
              <w:autoSpaceDN w:val="0"/>
              <w:adjustRightInd w:val="0"/>
              <w:rPr>
                <w:rFonts w:ascii="Garamond" w:hAnsi="Garamond" w:cs="Garamond"/>
                <w:b/>
                <w:color w:val="000000"/>
                <w:sz w:val="24"/>
                <w:szCs w:val="24"/>
                <w:lang w:val="sq-AL"/>
              </w:rPr>
            </w:pPr>
            <w:proofErr w:type="spellStart"/>
            <w:r w:rsidRPr="008F7E6D">
              <w:rPr>
                <w:rFonts w:ascii="Garamond" w:hAnsi="Garamond" w:cs="Garamond"/>
                <w:b/>
                <w:color w:val="000000"/>
                <w:sz w:val="24"/>
                <w:szCs w:val="24"/>
                <w:lang w:val="sq-AL"/>
              </w:rPr>
              <w:t>Zëvendës</w:t>
            </w:r>
            <w:r w:rsidR="00CC5711" w:rsidRPr="008F7E6D">
              <w:rPr>
                <w:rFonts w:ascii="Garamond" w:hAnsi="Garamond" w:cs="Garamond"/>
                <w:b/>
                <w:color w:val="000000"/>
                <w:sz w:val="24"/>
                <w:szCs w:val="24"/>
                <w:lang w:val="sq-AL"/>
              </w:rPr>
              <w:t>kancelare</w:t>
            </w:r>
            <w:proofErr w:type="spellEnd"/>
          </w:p>
        </w:tc>
        <w:tc>
          <w:tcPr>
            <w:tcW w:w="2552" w:type="dxa"/>
          </w:tcPr>
          <w:p w14:paraId="3A7F27F9" w14:textId="77777777" w:rsidR="00E80544" w:rsidRPr="008F7E6D" w:rsidRDefault="00E80544" w:rsidP="00E80544">
            <w:pPr>
              <w:keepNext/>
              <w:tabs>
                <w:tab w:val="left" w:pos="2547"/>
                <w:tab w:val="left" w:pos="5524"/>
              </w:tabs>
              <w:autoSpaceDE w:val="0"/>
              <w:autoSpaceDN w:val="0"/>
              <w:adjustRightInd w:val="0"/>
              <w:rPr>
                <w:rFonts w:ascii="Garamond" w:hAnsi="Garamond" w:cs="Garamond"/>
                <w:b/>
                <w:color w:val="000000"/>
                <w:sz w:val="24"/>
                <w:szCs w:val="24"/>
                <w:lang w:val="sq-AL"/>
              </w:rPr>
            </w:pPr>
            <w:r w:rsidRPr="008F7E6D">
              <w:rPr>
                <w:rFonts w:ascii="Garamond" w:hAnsi="Garamond" w:cs="Garamond"/>
                <w:b/>
                <w:color w:val="000000"/>
                <w:sz w:val="24"/>
                <w:szCs w:val="24"/>
                <w:lang w:val="sq-AL"/>
              </w:rPr>
              <w:t>President</w:t>
            </w:r>
          </w:p>
        </w:tc>
      </w:tr>
    </w:tbl>
    <w:p w14:paraId="51BB9DFC" w14:textId="77777777" w:rsidR="00E80544" w:rsidRPr="00934914" w:rsidRDefault="00E80544" w:rsidP="00E80544">
      <w:pPr>
        <w:keepNext/>
        <w:tabs>
          <w:tab w:val="left" w:pos="2547"/>
          <w:tab w:val="left" w:pos="5524"/>
        </w:tabs>
        <w:autoSpaceDE w:val="0"/>
        <w:autoSpaceDN w:val="0"/>
        <w:adjustRightInd w:val="0"/>
        <w:spacing w:after="0" w:line="240" w:lineRule="auto"/>
        <w:ind w:firstLine="284"/>
        <w:rPr>
          <w:rFonts w:ascii="Garamond" w:hAnsi="Garamond" w:cs="Garamond"/>
          <w:color w:val="000000"/>
          <w:sz w:val="24"/>
          <w:szCs w:val="24"/>
          <w:lang w:val="sq-AL"/>
        </w:rPr>
      </w:pPr>
    </w:p>
    <w:p w14:paraId="25A8A51D" w14:textId="77777777" w:rsidR="00004ACD" w:rsidRPr="00934914" w:rsidRDefault="00004ACD" w:rsidP="00E80544">
      <w:pPr>
        <w:keepNext/>
        <w:autoSpaceDE w:val="0"/>
        <w:autoSpaceDN w:val="0"/>
        <w:adjustRightInd w:val="0"/>
        <w:spacing w:after="0" w:line="240" w:lineRule="auto"/>
        <w:ind w:firstLine="284"/>
        <w:jc w:val="center"/>
        <w:rPr>
          <w:rFonts w:ascii="Garamond" w:hAnsi="Garamond" w:cs="Garamond"/>
          <w:color w:val="000000"/>
          <w:sz w:val="24"/>
          <w:szCs w:val="24"/>
          <w:lang w:val="sq-AL"/>
        </w:rPr>
      </w:pPr>
      <w:r w:rsidRPr="00934914">
        <w:rPr>
          <w:rFonts w:ascii="Garamond" w:hAnsi="Garamond" w:cs="Garamond"/>
          <w:color w:val="000000"/>
          <w:sz w:val="24"/>
          <w:szCs w:val="24"/>
          <w:lang w:val="sq-AL"/>
        </w:rPr>
        <w:t>SHTOJCË</w:t>
      </w:r>
    </w:p>
    <w:p w14:paraId="51D317D6" w14:textId="77777777" w:rsidR="00004ACD" w:rsidRPr="00934914" w:rsidRDefault="00004ACD" w:rsidP="00E80544">
      <w:pPr>
        <w:keepNext/>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Lista e kërkuesve:</w:t>
      </w:r>
    </w:p>
    <w:p w14:paraId="63FD8016" w14:textId="2BCE6587" w:rsidR="00B835BF" w:rsidRPr="00934914" w:rsidRDefault="00004ACD" w:rsidP="00E80544">
      <w:pPr>
        <w:autoSpaceDE w:val="0"/>
        <w:autoSpaceDN w:val="0"/>
        <w:adjustRightInd w:val="0"/>
        <w:spacing w:after="0" w:line="240" w:lineRule="auto"/>
        <w:ind w:firstLine="284"/>
        <w:jc w:val="both"/>
        <w:rPr>
          <w:rFonts w:ascii="Garamond" w:hAnsi="Garamond" w:cs="Garamond"/>
          <w:color w:val="000000"/>
          <w:sz w:val="24"/>
          <w:szCs w:val="24"/>
          <w:lang w:val="sq-AL"/>
        </w:rPr>
      </w:pPr>
      <w:r w:rsidRPr="00934914">
        <w:rPr>
          <w:rFonts w:ascii="Garamond" w:hAnsi="Garamond" w:cs="Garamond"/>
          <w:color w:val="000000"/>
          <w:sz w:val="24"/>
          <w:szCs w:val="24"/>
          <w:lang w:val="sq-AL"/>
        </w:rPr>
        <w:t>Kërkesa nr. 7564/07</w:t>
      </w:r>
    </w:p>
    <w:tbl>
      <w:tblPr>
        <w:tblStyle w:val="ECHRListTable"/>
        <w:tblW w:w="5000" w:type="pct"/>
        <w:jc w:val="center"/>
        <w:tblLook w:val="0420" w:firstRow="1" w:lastRow="0" w:firstColumn="0" w:lastColumn="0" w:noHBand="0" w:noVBand="1"/>
      </w:tblPr>
      <w:tblGrid>
        <w:gridCol w:w="506"/>
        <w:gridCol w:w="2507"/>
        <w:gridCol w:w="2359"/>
        <w:gridCol w:w="1575"/>
        <w:gridCol w:w="2403"/>
      </w:tblGrid>
      <w:tr w:rsidR="00B835BF" w:rsidRPr="00934914" w14:paraId="5052521E" w14:textId="77777777" w:rsidTr="00CC5711">
        <w:trPr>
          <w:cnfStyle w:val="100000000000" w:firstRow="1" w:lastRow="0" w:firstColumn="0" w:lastColumn="0" w:oddVBand="0" w:evenVBand="0" w:oddHBand="0" w:evenHBand="0" w:firstRowFirstColumn="0" w:firstRowLastColumn="0" w:lastRowFirstColumn="0" w:lastRowLastColumn="0"/>
          <w:jc w:val="center"/>
        </w:trPr>
        <w:tc>
          <w:tcPr>
            <w:tcW w:w="238" w:type="pct"/>
          </w:tcPr>
          <w:p w14:paraId="0F27AD41"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Nr.</w:t>
            </w:r>
          </w:p>
        </w:tc>
        <w:tc>
          <w:tcPr>
            <w:tcW w:w="1349" w:type="pct"/>
          </w:tcPr>
          <w:p w14:paraId="002E4140"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Emri i kërkuesit</w:t>
            </w:r>
          </w:p>
        </w:tc>
        <w:tc>
          <w:tcPr>
            <w:tcW w:w="1270" w:type="pct"/>
          </w:tcPr>
          <w:p w14:paraId="0989F54B"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Viti i lindjes/regjistrimit</w:t>
            </w:r>
          </w:p>
        </w:tc>
        <w:tc>
          <w:tcPr>
            <w:tcW w:w="850" w:type="pct"/>
          </w:tcPr>
          <w:p w14:paraId="0C93E4D7"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Shtetësia</w:t>
            </w:r>
          </w:p>
        </w:tc>
        <w:tc>
          <w:tcPr>
            <w:tcW w:w="1293" w:type="pct"/>
          </w:tcPr>
          <w:p w14:paraId="20BEBC81"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Vendi i qëndrimit</w:t>
            </w:r>
          </w:p>
        </w:tc>
      </w:tr>
      <w:tr w:rsidR="00B835BF" w:rsidRPr="00934914" w14:paraId="5796EEAE" w14:textId="77777777" w:rsidTr="00D55FED">
        <w:trPr>
          <w:trHeight w:val="17"/>
          <w:jc w:val="center"/>
        </w:trPr>
        <w:tc>
          <w:tcPr>
            <w:tcW w:w="238" w:type="pct"/>
          </w:tcPr>
          <w:p w14:paraId="0125371F" w14:textId="2819C908"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1</w:t>
            </w:r>
          </w:p>
        </w:tc>
        <w:tc>
          <w:tcPr>
            <w:tcW w:w="1349" w:type="pct"/>
          </w:tcPr>
          <w:p w14:paraId="0BC05B29" w14:textId="77777777"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 xml:space="preserve">Ilir </w:t>
            </w:r>
            <w:proofErr w:type="spellStart"/>
            <w:r w:rsidRPr="00934914">
              <w:rPr>
                <w:rFonts w:ascii="Garamond" w:eastAsia="Times New Roman" w:hAnsi="Garamond" w:cs="Times New Roman"/>
                <w:sz w:val="20"/>
              </w:rPr>
              <w:t>JELLA</w:t>
            </w:r>
            <w:proofErr w:type="spellEnd"/>
            <w:r w:rsidRPr="00934914">
              <w:rPr>
                <w:rFonts w:ascii="Garamond" w:eastAsia="Times New Roman" w:hAnsi="Garamond" w:cs="Times New Roman"/>
                <w:sz w:val="20"/>
              </w:rPr>
              <w:t xml:space="preserve"> </w:t>
            </w:r>
          </w:p>
        </w:tc>
        <w:tc>
          <w:tcPr>
            <w:tcW w:w="1270" w:type="pct"/>
          </w:tcPr>
          <w:p w14:paraId="6D75DE87"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1971</w:t>
            </w:r>
          </w:p>
        </w:tc>
        <w:tc>
          <w:tcPr>
            <w:tcW w:w="850" w:type="pct"/>
          </w:tcPr>
          <w:p w14:paraId="5DE6D3F2" w14:textId="3EAE06E1" w:rsidR="00B835BF" w:rsidRPr="00934914" w:rsidRDefault="00CC5711" w:rsidP="00D55FED">
            <w:pPr>
              <w:jc w:val="center"/>
              <w:rPr>
                <w:rFonts w:ascii="Garamond" w:eastAsia="Times New Roman" w:hAnsi="Garamond" w:cs="Times New Roman"/>
                <w:sz w:val="20"/>
              </w:rPr>
            </w:pPr>
            <w:r w:rsidRPr="00934914">
              <w:rPr>
                <w:rFonts w:ascii="Garamond" w:eastAsia="Times New Roman" w:hAnsi="Garamond" w:cs="Times New Roman"/>
                <w:sz w:val="20"/>
              </w:rPr>
              <w:t>shqiptar</w:t>
            </w:r>
          </w:p>
        </w:tc>
        <w:tc>
          <w:tcPr>
            <w:tcW w:w="1293" w:type="pct"/>
          </w:tcPr>
          <w:p w14:paraId="7B5DC68C"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Tiranë</w:t>
            </w:r>
          </w:p>
        </w:tc>
      </w:tr>
      <w:tr w:rsidR="00B835BF" w:rsidRPr="00934914" w14:paraId="4C1D9C48" w14:textId="77777777" w:rsidTr="00CC5711">
        <w:trPr>
          <w:jc w:val="center"/>
        </w:trPr>
        <w:tc>
          <w:tcPr>
            <w:tcW w:w="238" w:type="pct"/>
          </w:tcPr>
          <w:p w14:paraId="544F72EF" w14:textId="0041FB59"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2</w:t>
            </w:r>
          </w:p>
        </w:tc>
        <w:tc>
          <w:tcPr>
            <w:tcW w:w="1349" w:type="pct"/>
          </w:tcPr>
          <w:p w14:paraId="06F91FFB" w14:textId="77777777" w:rsidR="00B835BF" w:rsidRPr="00934914" w:rsidRDefault="00B835BF" w:rsidP="00D55FED">
            <w:pPr>
              <w:rPr>
                <w:rFonts w:ascii="Garamond" w:eastAsia="Times New Roman" w:hAnsi="Garamond" w:cs="Times New Roman"/>
                <w:sz w:val="20"/>
              </w:rPr>
            </w:pPr>
            <w:proofErr w:type="spellStart"/>
            <w:r w:rsidRPr="00934914">
              <w:rPr>
                <w:rFonts w:ascii="Garamond" w:eastAsia="Times New Roman" w:hAnsi="Garamond" w:cs="Times New Roman"/>
                <w:sz w:val="20"/>
              </w:rPr>
              <w:t>Firdes</w:t>
            </w:r>
            <w:proofErr w:type="spellEnd"/>
            <w:r w:rsidRPr="00934914">
              <w:rPr>
                <w:rFonts w:ascii="Garamond" w:eastAsia="Times New Roman" w:hAnsi="Garamond" w:cs="Times New Roman"/>
                <w:sz w:val="20"/>
              </w:rPr>
              <w:t xml:space="preserve"> </w:t>
            </w:r>
            <w:proofErr w:type="spellStart"/>
            <w:r w:rsidRPr="00934914">
              <w:rPr>
                <w:rFonts w:ascii="Garamond" w:eastAsia="Times New Roman" w:hAnsi="Garamond" w:cs="Times New Roman"/>
                <w:sz w:val="20"/>
              </w:rPr>
              <w:t>ÇIÇIKU</w:t>
            </w:r>
            <w:proofErr w:type="spellEnd"/>
          </w:p>
        </w:tc>
        <w:tc>
          <w:tcPr>
            <w:tcW w:w="1270" w:type="pct"/>
          </w:tcPr>
          <w:p w14:paraId="1E4C9BE7"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1946</w:t>
            </w:r>
          </w:p>
        </w:tc>
        <w:tc>
          <w:tcPr>
            <w:tcW w:w="850" w:type="pct"/>
          </w:tcPr>
          <w:p w14:paraId="7C05BDD6" w14:textId="0D45DDBB" w:rsidR="00B835BF" w:rsidRPr="00934914" w:rsidRDefault="00CC5711" w:rsidP="00D55FED">
            <w:pPr>
              <w:jc w:val="center"/>
              <w:rPr>
                <w:rFonts w:ascii="Garamond" w:eastAsia="Times New Roman" w:hAnsi="Garamond" w:cs="Times New Roman"/>
                <w:sz w:val="20"/>
              </w:rPr>
            </w:pPr>
            <w:r w:rsidRPr="00934914">
              <w:rPr>
                <w:rFonts w:ascii="Garamond" w:eastAsia="Times New Roman" w:hAnsi="Garamond" w:cs="Times New Roman"/>
                <w:sz w:val="20"/>
              </w:rPr>
              <w:t>shqiptare</w:t>
            </w:r>
          </w:p>
        </w:tc>
        <w:tc>
          <w:tcPr>
            <w:tcW w:w="1293" w:type="pct"/>
          </w:tcPr>
          <w:p w14:paraId="0350C18B"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Tiranë</w:t>
            </w:r>
          </w:p>
        </w:tc>
      </w:tr>
      <w:tr w:rsidR="00B835BF" w:rsidRPr="00934914" w14:paraId="6DE112D1" w14:textId="77777777" w:rsidTr="00CC5711">
        <w:trPr>
          <w:jc w:val="center"/>
        </w:trPr>
        <w:tc>
          <w:tcPr>
            <w:tcW w:w="238" w:type="pct"/>
          </w:tcPr>
          <w:p w14:paraId="27014523" w14:textId="7E5424B9"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3</w:t>
            </w:r>
          </w:p>
        </w:tc>
        <w:tc>
          <w:tcPr>
            <w:tcW w:w="1349" w:type="pct"/>
          </w:tcPr>
          <w:p w14:paraId="76C60510" w14:textId="77777777"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 xml:space="preserve">Besnik </w:t>
            </w:r>
            <w:proofErr w:type="spellStart"/>
            <w:r w:rsidRPr="00934914">
              <w:rPr>
                <w:rFonts w:ascii="Garamond" w:eastAsia="Times New Roman" w:hAnsi="Garamond" w:cs="Times New Roman"/>
                <w:sz w:val="20"/>
              </w:rPr>
              <w:t>JELLA</w:t>
            </w:r>
            <w:proofErr w:type="spellEnd"/>
          </w:p>
        </w:tc>
        <w:tc>
          <w:tcPr>
            <w:tcW w:w="1270" w:type="pct"/>
          </w:tcPr>
          <w:p w14:paraId="25BD1D3E"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1975</w:t>
            </w:r>
          </w:p>
        </w:tc>
        <w:tc>
          <w:tcPr>
            <w:tcW w:w="850" w:type="pct"/>
          </w:tcPr>
          <w:p w14:paraId="631792B0" w14:textId="65647EB5" w:rsidR="00B835BF" w:rsidRPr="00934914" w:rsidRDefault="00CC5711" w:rsidP="00D55FED">
            <w:pPr>
              <w:jc w:val="center"/>
              <w:rPr>
                <w:rFonts w:ascii="Garamond" w:eastAsia="Times New Roman" w:hAnsi="Garamond" w:cs="Times New Roman"/>
                <w:sz w:val="20"/>
              </w:rPr>
            </w:pPr>
            <w:r w:rsidRPr="00934914">
              <w:rPr>
                <w:rFonts w:ascii="Garamond" w:eastAsia="Times New Roman" w:hAnsi="Garamond" w:cs="Times New Roman"/>
                <w:sz w:val="20"/>
              </w:rPr>
              <w:t>shqiptar</w:t>
            </w:r>
          </w:p>
        </w:tc>
        <w:tc>
          <w:tcPr>
            <w:tcW w:w="1293" w:type="pct"/>
          </w:tcPr>
          <w:p w14:paraId="1A634880"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Tiranë</w:t>
            </w:r>
          </w:p>
        </w:tc>
      </w:tr>
      <w:tr w:rsidR="00B835BF" w:rsidRPr="00934914" w14:paraId="64A70416" w14:textId="77777777" w:rsidTr="00CC5711">
        <w:trPr>
          <w:jc w:val="center"/>
        </w:trPr>
        <w:tc>
          <w:tcPr>
            <w:tcW w:w="238" w:type="pct"/>
          </w:tcPr>
          <w:p w14:paraId="6E9BBE3B" w14:textId="7D11D187"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4</w:t>
            </w:r>
          </w:p>
        </w:tc>
        <w:tc>
          <w:tcPr>
            <w:tcW w:w="1349" w:type="pct"/>
          </w:tcPr>
          <w:p w14:paraId="67DDC342" w14:textId="77777777"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 xml:space="preserve">Zamira </w:t>
            </w:r>
            <w:proofErr w:type="spellStart"/>
            <w:r w:rsidRPr="00934914">
              <w:rPr>
                <w:rFonts w:ascii="Garamond" w:eastAsia="Times New Roman" w:hAnsi="Garamond" w:cs="Times New Roman"/>
                <w:sz w:val="20"/>
              </w:rPr>
              <w:t>JELLA</w:t>
            </w:r>
            <w:proofErr w:type="spellEnd"/>
          </w:p>
        </w:tc>
        <w:tc>
          <w:tcPr>
            <w:tcW w:w="1270" w:type="pct"/>
          </w:tcPr>
          <w:p w14:paraId="4198B57C"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1957</w:t>
            </w:r>
          </w:p>
        </w:tc>
        <w:tc>
          <w:tcPr>
            <w:tcW w:w="850" w:type="pct"/>
          </w:tcPr>
          <w:p w14:paraId="1A772F37" w14:textId="368EDBC3" w:rsidR="00B835BF" w:rsidRPr="00934914" w:rsidRDefault="00CC5711" w:rsidP="00D55FED">
            <w:pPr>
              <w:jc w:val="center"/>
              <w:rPr>
                <w:rFonts w:ascii="Garamond" w:eastAsia="Times New Roman" w:hAnsi="Garamond" w:cs="Times New Roman"/>
                <w:sz w:val="20"/>
              </w:rPr>
            </w:pPr>
            <w:r w:rsidRPr="00934914">
              <w:rPr>
                <w:rFonts w:ascii="Garamond" w:eastAsia="Times New Roman" w:hAnsi="Garamond" w:cs="Times New Roman"/>
                <w:sz w:val="20"/>
              </w:rPr>
              <w:t>shqiptare</w:t>
            </w:r>
          </w:p>
        </w:tc>
        <w:tc>
          <w:tcPr>
            <w:tcW w:w="1293" w:type="pct"/>
          </w:tcPr>
          <w:p w14:paraId="695B0A4C"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Tiranë</w:t>
            </w:r>
          </w:p>
        </w:tc>
      </w:tr>
      <w:tr w:rsidR="00B835BF" w:rsidRPr="00934914" w14:paraId="71A6F669" w14:textId="77777777" w:rsidTr="00CC5711">
        <w:trPr>
          <w:jc w:val="center"/>
        </w:trPr>
        <w:tc>
          <w:tcPr>
            <w:tcW w:w="238" w:type="pct"/>
          </w:tcPr>
          <w:p w14:paraId="7654B135" w14:textId="2FA02E17" w:rsidR="00B835BF" w:rsidRPr="00934914" w:rsidRDefault="00B835BF" w:rsidP="00D55FED">
            <w:pPr>
              <w:rPr>
                <w:rFonts w:ascii="Garamond" w:eastAsia="Times New Roman" w:hAnsi="Garamond" w:cs="Times New Roman"/>
                <w:sz w:val="20"/>
              </w:rPr>
            </w:pPr>
            <w:r w:rsidRPr="00934914">
              <w:rPr>
                <w:rFonts w:ascii="Garamond" w:eastAsia="Times New Roman" w:hAnsi="Garamond" w:cs="Times New Roman"/>
                <w:sz w:val="20"/>
              </w:rPr>
              <w:t>5</w:t>
            </w:r>
          </w:p>
        </w:tc>
        <w:tc>
          <w:tcPr>
            <w:tcW w:w="1349" w:type="pct"/>
          </w:tcPr>
          <w:p w14:paraId="2A1F29B4" w14:textId="77777777" w:rsidR="00B835BF" w:rsidRPr="00934914" w:rsidRDefault="00B835BF" w:rsidP="00D55FED">
            <w:pPr>
              <w:rPr>
                <w:rFonts w:ascii="Garamond" w:eastAsia="Times New Roman" w:hAnsi="Garamond" w:cs="Times New Roman"/>
                <w:sz w:val="20"/>
              </w:rPr>
            </w:pPr>
            <w:proofErr w:type="spellStart"/>
            <w:r w:rsidRPr="00934914">
              <w:rPr>
                <w:rFonts w:ascii="Garamond" w:eastAsia="Times New Roman" w:hAnsi="Garamond" w:cs="Times New Roman"/>
                <w:sz w:val="20"/>
              </w:rPr>
              <w:t>Xhemali</w:t>
            </w:r>
            <w:proofErr w:type="spellEnd"/>
            <w:r w:rsidRPr="00934914">
              <w:rPr>
                <w:rFonts w:ascii="Garamond" w:eastAsia="Times New Roman" w:hAnsi="Garamond" w:cs="Times New Roman"/>
                <w:sz w:val="20"/>
              </w:rPr>
              <w:t xml:space="preserve"> </w:t>
            </w:r>
            <w:proofErr w:type="spellStart"/>
            <w:r w:rsidRPr="00934914">
              <w:rPr>
                <w:rFonts w:ascii="Garamond" w:eastAsia="Times New Roman" w:hAnsi="Garamond" w:cs="Times New Roman"/>
                <w:sz w:val="20"/>
              </w:rPr>
              <w:t>NOVA</w:t>
            </w:r>
            <w:proofErr w:type="spellEnd"/>
          </w:p>
        </w:tc>
        <w:tc>
          <w:tcPr>
            <w:tcW w:w="1270" w:type="pct"/>
          </w:tcPr>
          <w:p w14:paraId="088FA427"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1949</w:t>
            </w:r>
          </w:p>
        </w:tc>
        <w:tc>
          <w:tcPr>
            <w:tcW w:w="850" w:type="pct"/>
          </w:tcPr>
          <w:p w14:paraId="099923C5" w14:textId="6A4509C5" w:rsidR="00B835BF" w:rsidRPr="00934914" w:rsidRDefault="00CC5711" w:rsidP="00D55FED">
            <w:pPr>
              <w:jc w:val="center"/>
              <w:rPr>
                <w:rFonts w:ascii="Garamond" w:eastAsia="Times New Roman" w:hAnsi="Garamond" w:cs="Times New Roman"/>
                <w:sz w:val="20"/>
              </w:rPr>
            </w:pPr>
            <w:r w:rsidRPr="00934914">
              <w:rPr>
                <w:rFonts w:ascii="Garamond" w:eastAsia="Times New Roman" w:hAnsi="Garamond" w:cs="Times New Roman"/>
                <w:sz w:val="20"/>
              </w:rPr>
              <w:t>shqiptar</w:t>
            </w:r>
          </w:p>
        </w:tc>
        <w:tc>
          <w:tcPr>
            <w:tcW w:w="1293" w:type="pct"/>
          </w:tcPr>
          <w:p w14:paraId="52FDE780" w14:textId="77777777" w:rsidR="00B835BF" w:rsidRPr="00934914" w:rsidRDefault="00B835BF" w:rsidP="00D55FED">
            <w:pPr>
              <w:jc w:val="center"/>
              <w:rPr>
                <w:rFonts w:ascii="Garamond" w:eastAsia="Times New Roman" w:hAnsi="Garamond" w:cs="Times New Roman"/>
                <w:sz w:val="20"/>
              </w:rPr>
            </w:pPr>
            <w:r w:rsidRPr="00934914">
              <w:rPr>
                <w:rFonts w:ascii="Garamond" w:eastAsia="Times New Roman" w:hAnsi="Garamond" w:cs="Times New Roman"/>
                <w:sz w:val="20"/>
              </w:rPr>
              <w:t>Tiranë</w:t>
            </w:r>
          </w:p>
        </w:tc>
      </w:tr>
    </w:tbl>
    <w:p w14:paraId="2D47FCFA" w14:textId="77777777" w:rsidR="00B835BF" w:rsidRPr="00934914" w:rsidRDefault="00B835BF" w:rsidP="00E80544">
      <w:pPr>
        <w:autoSpaceDE w:val="0"/>
        <w:autoSpaceDN w:val="0"/>
        <w:adjustRightInd w:val="0"/>
        <w:spacing w:after="0" w:line="240" w:lineRule="auto"/>
        <w:ind w:firstLine="284"/>
        <w:jc w:val="both"/>
        <w:rPr>
          <w:rFonts w:ascii="Garamond" w:hAnsi="Garamond" w:cs="Garamond"/>
          <w:color w:val="000000"/>
          <w:sz w:val="24"/>
          <w:szCs w:val="24"/>
          <w:lang w:val="sq-AL"/>
        </w:rPr>
      </w:pPr>
    </w:p>
    <w:sectPr w:rsidR="00B835BF" w:rsidRPr="00934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CD"/>
    <w:rsid w:val="00002258"/>
    <w:rsid w:val="00004ACD"/>
    <w:rsid w:val="00050723"/>
    <w:rsid w:val="00086A6A"/>
    <w:rsid w:val="000E7DF4"/>
    <w:rsid w:val="001857D7"/>
    <w:rsid w:val="002079F7"/>
    <w:rsid w:val="00216F06"/>
    <w:rsid w:val="003576A2"/>
    <w:rsid w:val="003962FE"/>
    <w:rsid w:val="003A07E3"/>
    <w:rsid w:val="003D0CDA"/>
    <w:rsid w:val="004A047B"/>
    <w:rsid w:val="00503FDE"/>
    <w:rsid w:val="00533DE8"/>
    <w:rsid w:val="0056324B"/>
    <w:rsid w:val="005858F8"/>
    <w:rsid w:val="005A241B"/>
    <w:rsid w:val="005D3FE9"/>
    <w:rsid w:val="006C697E"/>
    <w:rsid w:val="006D2788"/>
    <w:rsid w:val="006E1335"/>
    <w:rsid w:val="00712EDE"/>
    <w:rsid w:val="00772D73"/>
    <w:rsid w:val="00856AB8"/>
    <w:rsid w:val="008E0E53"/>
    <w:rsid w:val="008F7E6D"/>
    <w:rsid w:val="00934914"/>
    <w:rsid w:val="00B5103D"/>
    <w:rsid w:val="00B753C0"/>
    <w:rsid w:val="00B835BF"/>
    <w:rsid w:val="00CB0B02"/>
    <w:rsid w:val="00CC5711"/>
    <w:rsid w:val="00CF3227"/>
    <w:rsid w:val="00D55FED"/>
    <w:rsid w:val="00D6303D"/>
    <w:rsid w:val="00E74095"/>
    <w:rsid w:val="00E77114"/>
    <w:rsid w:val="00E80544"/>
    <w:rsid w:val="00F02D69"/>
    <w:rsid w:val="00F83AD4"/>
    <w:rsid w:val="00FB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1BC8"/>
  <w15:chartTrackingRefBased/>
  <w15:docId w15:val="{5000EF60-2970-438A-991A-34A9F006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rsid w:val="00004ACD"/>
    <w:pPr>
      <w:tabs>
        <w:tab w:val="center" w:pos="1400"/>
        <w:tab w:val="center" w:pos="5940"/>
      </w:tabs>
      <w:autoSpaceDE w:val="0"/>
      <w:autoSpaceDN w:val="0"/>
      <w:adjustRightInd w:val="0"/>
      <w:spacing w:before="720" w:after="0" w:line="240" w:lineRule="auto"/>
    </w:pPr>
    <w:rPr>
      <w:rFonts w:ascii="Garamond" w:hAnsi="Garamond" w:cs="Garamond"/>
      <w:color w:val="000000"/>
      <w:sz w:val="24"/>
      <w:szCs w:val="24"/>
    </w:rPr>
  </w:style>
  <w:style w:type="paragraph" w:customStyle="1" w:styleId="ECHRPlaceholder">
    <w:name w:val="ECHR_Placeholder"/>
    <w:aliases w:val="_Placeholder"/>
    <w:uiPriority w:val="99"/>
    <w:rsid w:val="00004ACD"/>
    <w:pPr>
      <w:tabs>
        <w:tab w:val="center" w:pos="1400"/>
        <w:tab w:val="center" w:pos="5940"/>
      </w:tabs>
      <w:autoSpaceDE w:val="0"/>
      <w:autoSpaceDN w:val="0"/>
      <w:adjustRightInd w:val="0"/>
      <w:spacing w:before="720" w:after="0" w:line="240" w:lineRule="auto"/>
    </w:pPr>
    <w:rPr>
      <w:rFonts w:ascii="Garamond" w:hAnsi="Garamond" w:cs="Garamond"/>
      <w:color w:val="000000"/>
      <w:sz w:val="24"/>
      <w:szCs w:val="24"/>
    </w:rPr>
  </w:style>
  <w:style w:type="paragraph" w:customStyle="1" w:styleId="JuParaLast">
    <w:name w:val="Ju_Para_Last"/>
    <w:aliases w:val="_Para_Spaced"/>
    <w:basedOn w:val="Normal"/>
    <w:uiPriority w:val="99"/>
    <w:rsid w:val="00004ACD"/>
    <w:pPr>
      <w:keepNext/>
      <w:keepLines/>
      <w:autoSpaceDE w:val="0"/>
      <w:autoSpaceDN w:val="0"/>
      <w:adjustRightInd w:val="0"/>
      <w:spacing w:before="240" w:after="240" w:line="240" w:lineRule="auto"/>
      <w:ind w:firstLine="280"/>
      <w:jc w:val="both"/>
    </w:pPr>
    <w:rPr>
      <w:rFonts w:ascii="Garamond" w:hAnsi="Garamond" w:cs="Garamond"/>
      <w:color w:val="000000"/>
      <w:sz w:val="24"/>
      <w:szCs w:val="24"/>
    </w:rPr>
  </w:style>
  <w:style w:type="paragraph" w:customStyle="1" w:styleId="JuListi">
    <w:name w:val="Ju_List_i"/>
    <w:aliases w:val="_List_3"/>
    <w:basedOn w:val="Normal"/>
    <w:uiPriority w:val="99"/>
    <w:rsid w:val="00004ACD"/>
    <w:pPr>
      <w:autoSpaceDE w:val="0"/>
      <w:autoSpaceDN w:val="0"/>
      <w:adjustRightInd w:val="0"/>
      <w:spacing w:after="0" w:line="240" w:lineRule="auto"/>
      <w:ind w:left="1020" w:hanging="340"/>
      <w:jc w:val="both"/>
    </w:pPr>
    <w:rPr>
      <w:rFonts w:ascii="Garamond" w:hAnsi="Garamond" w:cs="Garamond"/>
      <w:color w:val="000000"/>
      <w:sz w:val="24"/>
      <w:szCs w:val="24"/>
    </w:rPr>
  </w:style>
  <w:style w:type="paragraph" w:customStyle="1" w:styleId="JuLista">
    <w:name w:val="Ju_List_a"/>
    <w:aliases w:val="_List_2"/>
    <w:basedOn w:val="Normal"/>
    <w:uiPriority w:val="99"/>
    <w:rsid w:val="00004ACD"/>
    <w:pPr>
      <w:tabs>
        <w:tab w:val="left" w:pos="680"/>
      </w:tabs>
      <w:autoSpaceDE w:val="0"/>
      <w:autoSpaceDN w:val="0"/>
      <w:adjustRightInd w:val="0"/>
      <w:spacing w:after="0" w:line="240" w:lineRule="auto"/>
      <w:ind w:left="680" w:hanging="340"/>
      <w:jc w:val="both"/>
    </w:pPr>
    <w:rPr>
      <w:rFonts w:ascii="Garamond" w:hAnsi="Garamond" w:cs="Garamond"/>
      <w:color w:val="000000"/>
      <w:sz w:val="24"/>
      <w:szCs w:val="24"/>
    </w:rPr>
  </w:style>
  <w:style w:type="paragraph" w:customStyle="1" w:styleId="JuList">
    <w:name w:val="Ju_List"/>
    <w:aliases w:val="_List_1"/>
    <w:basedOn w:val="Normal"/>
    <w:uiPriority w:val="99"/>
    <w:rsid w:val="00004ACD"/>
    <w:pPr>
      <w:tabs>
        <w:tab w:val="left" w:pos="340"/>
      </w:tabs>
      <w:autoSpaceDE w:val="0"/>
      <w:autoSpaceDN w:val="0"/>
      <w:adjustRightInd w:val="0"/>
      <w:spacing w:before="280" w:after="60" w:line="240" w:lineRule="auto"/>
      <w:ind w:left="340" w:hanging="340"/>
      <w:jc w:val="both"/>
    </w:pPr>
    <w:rPr>
      <w:rFonts w:ascii="Garamond" w:hAnsi="Garamond" w:cs="Garamond"/>
      <w:color w:val="000000"/>
      <w:sz w:val="24"/>
      <w:szCs w:val="24"/>
    </w:rPr>
  </w:style>
  <w:style w:type="paragraph" w:customStyle="1" w:styleId="JuHA">
    <w:name w:val="Ju_H_A"/>
    <w:aliases w:val="_Head_3"/>
    <w:uiPriority w:val="99"/>
    <w:rsid w:val="00004ACD"/>
    <w:pPr>
      <w:keepNext/>
      <w:keepLines/>
      <w:autoSpaceDE w:val="0"/>
      <w:autoSpaceDN w:val="0"/>
      <w:adjustRightInd w:val="0"/>
      <w:spacing w:before="100" w:after="240" w:line="240" w:lineRule="auto"/>
      <w:ind w:left="500" w:hanging="340"/>
      <w:jc w:val="both"/>
    </w:pPr>
    <w:rPr>
      <w:rFonts w:ascii="Garamond" w:hAnsi="Garamond" w:cs="Garamond"/>
      <w:b/>
      <w:bCs/>
      <w:sz w:val="24"/>
      <w:szCs w:val="24"/>
    </w:rPr>
  </w:style>
  <w:style w:type="paragraph" w:customStyle="1" w:styleId="JuHIRoman">
    <w:name w:val="Ju_H_I_Roman"/>
    <w:aliases w:val="_Head_2"/>
    <w:uiPriority w:val="99"/>
    <w:rsid w:val="00004ACD"/>
    <w:pPr>
      <w:keepNext/>
      <w:keepLines/>
      <w:tabs>
        <w:tab w:val="left" w:pos="440"/>
        <w:tab w:val="left" w:pos="520"/>
        <w:tab w:val="left" w:pos="620"/>
        <w:tab w:val="left" w:pos="700"/>
        <w:tab w:val="left" w:pos="780"/>
      </w:tabs>
      <w:autoSpaceDE w:val="0"/>
      <w:autoSpaceDN w:val="0"/>
      <w:adjustRightInd w:val="0"/>
      <w:spacing w:before="100" w:after="240" w:line="240" w:lineRule="auto"/>
      <w:ind w:left="360" w:hanging="360"/>
      <w:jc w:val="both"/>
    </w:pPr>
    <w:rPr>
      <w:rFonts w:ascii="Garamond" w:hAnsi="Garamond" w:cs="Garamond"/>
      <w:caps/>
      <w:sz w:val="24"/>
      <w:szCs w:val="24"/>
    </w:rPr>
  </w:style>
  <w:style w:type="paragraph" w:customStyle="1" w:styleId="JuHHead">
    <w:name w:val="Ju_H_Head"/>
    <w:aliases w:val="_Head_1"/>
    <w:uiPriority w:val="99"/>
    <w:rsid w:val="00004ACD"/>
    <w:pPr>
      <w:keepNext/>
      <w:keepLines/>
      <w:autoSpaceDE w:val="0"/>
      <w:autoSpaceDN w:val="0"/>
      <w:adjustRightInd w:val="0"/>
      <w:spacing w:before="100" w:after="240" w:line="240" w:lineRule="auto"/>
      <w:jc w:val="both"/>
    </w:pPr>
    <w:rPr>
      <w:rFonts w:ascii="Garamond" w:hAnsi="Garamond" w:cs="Garamond"/>
      <w:caps/>
      <w:color w:val="000000"/>
      <w:sz w:val="28"/>
      <w:szCs w:val="28"/>
    </w:rPr>
  </w:style>
  <w:style w:type="paragraph" w:customStyle="1" w:styleId="JuJudges">
    <w:name w:val="Ju_Judges"/>
    <w:aliases w:val="_Judges"/>
    <w:basedOn w:val="Normal"/>
    <w:uiPriority w:val="99"/>
    <w:rsid w:val="00004ACD"/>
    <w:pPr>
      <w:tabs>
        <w:tab w:val="left" w:pos="560"/>
        <w:tab w:val="left" w:pos="1120"/>
      </w:tabs>
      <w:autoSpaceDE w:val="0"/>
      <w:autoSpaceDN w:val="0"/>
      <w:adjustRightInd w:val="0"/>
      <w:spacing w:after="0" w:line="240" w:lineRule="auto"/>
    </w:pPr>
    <w:rPr>
      <w:rFonts w:ascii="Garamond" w:hAnsi="Garamond" w:cs="Garamond"/>
      <w:color w:val="000000"/>
      <w:sz w:val="24"/>
      <w:szCs w:val="24"/>
    </w:rPr>
  </w:style>
  <w:style w:type="paragraph" w:customStyle="1" w:styleId="DecHCase">
    <w:name w:val="Dec_H_Case"/>
    <w:aliases w:val="_Title_3"/>
    <w:uiPriority w:val="99"/>
    <w:rsid w:val="00004ACD"/>
    <w:pPr>
      <w:keepNext/>
      <w:keepLines/>
      <w:autoSpaceDE w:val="0"/>
      <w:autoSpaceDN w:val="0"/>
      <w:adjustRightInd w:val="0"/>
      <w:spacing w:after="280" w:line="240" w:lineRule="auto"/>
      <w:ind w:firstLine="280"/>
      <w:jc w:val="center"/>
    </w:pPr>
    <w:rPr>
      <w:rFonts w:ascii="Garamond" w:hAnsi="Garamond" w:cs="Garamond"/>
      <w:color w:val="000000"/>
      <w:sz w:val="24"/>
      <w:szCs w:val="24"/>
    </w:rPr>
  </w:style>
  <w:style w:type="paragraph" w:customStyle="1" w:styleId="ECHRCoverTitle4">
    <w:name w:val="ECHR_Cover_Title_4"/>
    <w:aliases w:val="_Title_4"/>
    <w:basedOn w:val="JuPara"/>
    <w:next w:val="JuPara"/>
    <w:uiPriority w:val="99"/>
    <w:rsid w:val="00004ACD"/>
    <w:pPr>
      <w:keepNext/>
      <w:keepLines/>
      <w:tabs>
        <w:tab w:val="right" w:pos="7920"/>
      </w:tabs>
      <w:jc w:val="center"/>
    </w:pPr>
    <w:rPr>
      <w:i/>
      <w:iCs/>
    </w:rPr>
  </w:style>
  <w:style w:type="paragraph" w:customStyle="1" w:styleId="JuTitle">
    <w:name w:val="Ju_Title"/>
    <w:aliases w:val="_Title_2"/>
    <w:basedOn w:val="Normal"/>
    <w:next w:val="JuPara"/>
    <w:uiPriority w:val="99"/>
    <w:rsid w:val="00004ACD"/>
    <w:pPr>
      <w:keepNext/>
      <w:keepLines/>
      <w:autoSpaceDE w:val="0"/>
      <w:autoSpaceDN w:val="0"/>
      <w:adjustRightInd w:val="0"/>
      <w:spacing w:before="1320" w:after="280" w:line="240" w:lineRule="auto"/>
      <w:jc w:val="center"/>
    </w:pPr>
    <w:rPr>
      <w:rFonts w:ascii="Garamond" w:hAnsi="Garamond" w:cs="Garamond"/>
      <w:b/>
      <w:bCs/>
      <w:color w:val="000000"/>
      <w:sz w:val="24"/>
      <w:szCs w:val="24"/>
    </w:rPr>
  </w:style>
  <w:style w:type="paragraph" w:customStyle="1" w:styleId="DecHTitle">
    <w:name w:val="Dec_H_Title"/>
    <w:aliases w:val="_Title_1"/>
    <w:basedOn w:val="JuPara"/>
    <w:next w:val="JuPara"/>
    <w:uiPriority w:val="99"/>
    <w:rsid w:val="00004ACD"/>
    <w:pPr>
      <w:keepNext/>
      <w:keepLines/>
      <w:spacing w:after="240"/>
      <w:jc w:val="center"/>
    </w:pPr>
    <w:rPr>
      <w:sz w:val="28"/>
      <w:szCs w:val="28"/>
    </w:rPr>
  </w:style>
  <w:style w:type="paragraph" w:customStyle="1" w:styleId="JuPara">
    <w:name w:val="Ju_Para"/>
    <w:aliases w:val="_Para"/>
    <w:basedOn w:val="Normal"/>
    <w:uiPriority w:val="99"/>
    <w:rsid w:val="00004ACD"/>
    <w:pPr>
      <w:autoSpaceDE w:val="0"/>
      <w:autoSpaceDN w:val="0"/>
      <w:adjustRightInd w:val="0"/>
      <w:spacing w:after="0" w:line="240" w:lineRule="auto"/>
      <w:ind w:firstLine="280"/>
      <w:jc w:val="both"/>
    </w:pPr>
    <w:rPr>
      <w:rFonts w:ascii="Garamond" w:hAnsi="Garamond" w:cs="Garamond"/>
      <w:color w:val="000000"/>
      <w:sz w:val="24"/>
      <w:szCs w:val="24"/>
    </w:rPr>
  </w:style>
  <w:style w:type="table" w:styleId="TableGrid">
    <w:name w:val="Table Grid"/>
    <w:basedOn w:val="TableNormal"/>
    <w:uiPriority w:val="39"/>
    <w:rsid w:val="00E8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ListTable">
    <w:name w:val="ECHR_List_Table"/>
    <w:basedOn w:val="TableNormal"/>
    <w:uiPriority w:val="99"/>
    <w:rsid w:val="00B835BF"/>
    <w:pPr>
      <w:spacing w:after="0" w:line="240" w:lineRule="auto"/>
    </w:pPr>
    <w:rPr>
      <w:sz w:val="24"/>
      <w:szCs w:val="24"/>
      <w:lang w:val="sq-AL"/>
    </w:rPr>
    <w:tblPr>
      <w:tblBorders>
        <w:top w:val="single" w:sz="4" w:space="0" w:color="0A1D30"/>
        <w:left w:val="single" w:sz="4" w:space="0" w:color="0A1D30"/>
        <w:bottom w:val="single" w:sz="4" w:space="0" w:color="0A1D30"/>
        <w:right w:val="single" w:sz="4" w:space="0" w:color="0A1D30"/>
        <w:insideH w:val="single" w:sz="4" w:space="0" w:color="0A1D30"/>
        <w:insideV w:val="single" w:sz="4" w:space="0" w:color="0A1D30"/>
      </w:tblBorders>
      <w:tblCellMar>
        <w:top w:w="28" w:type="dxa"/>
        <w:bottom w:w="28" w:type="dxa"/>
      </w:tblCellMar>
    </w:tblPr>
    <w:tblStylePr w:type="firstRow">
      <w:rPr>
        <w:b/>
        <w:color w:val="124F1A"/>
      </w:rPr>
      <w:tblPr/>
      <w:trPr>
        <w:tblHeader/>
      </w:trPr>
      <w:tcPr>
        <w:tcBorders>
          <w:top w:val="single" w:sz="4" w:space="0" w:color="0A1D30"/>
          <w:left w:val="single" w:sz="4" w:space="0" w:color="0A1D30"/>
          <w:bottom w:val="single" w:sz="4" w:space="0" w:color="0A1D30"/>
          <w:right w:val="single" w:sz="4" w:space="0" w:color="0A1D30"/>
          <w:insideH w:val="single" w:sz="4" w:space="0" w:color="0A1D30"/>
          <w:insideV w:val="single" w:sz="4" w:space="0" w:color="0A1D30"/>
        </w:tcBorders>
        <w:shd w:val="clear" w:color="auto" w:fill="D1D1D1"/>
      </w:tcPr>
    </w:tblStylePr>
  </w:style>
  <w:style w:type="paragraph" w:styleId="Revision">
    <w:name w:val="Revision"/>
    <w:hidden/>
    <w:uiPriority w:val="99"/>
    <w:semiHidden/>
    <w:rsid w:val="004A047B"/>
    <w:pPr>
      <w:spacing w:after="0" w:line="240" w:lineRule="auto"/>
    </w:pPr>
  </w:style>
  <w:style w:type="paragraph" w:styleId="BalloonText">
    <w:name w:val="Balloon Text"/>
    <w:basedOn w:val="Normal"/>
    <w:link w:val="BalloonTextChar"/>
    <w:uiPriority w:val="99"/>
    <w:semiHidden/>
    <w:unhideWhenUsed/>
    <w:rsid w:val="004A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FB016EDB1D024212B1B2851C1431825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7564-07</Nr_x002e__x0020_akti>
    <Data_x0020_e_x0020_Krijimit xmlns="0e656187-b300-4fb0-8bf4-3a50f872073c">2024-05-27T10:40:10Z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2024-05-24T00:00:00Z</Date_x0020_protokolli>
    <Titulli xmlns="0e656187-b300-4fb0-8bf4-3a50f872073c">Çështja Jella dhe të tjerë kundër Shqipërisë</Titulli>
    <Modifikuesi xmlns="0e656187-b300-4fb0-8bf4-3a50f872073c">Suada.Daci</Modifikuesi>
    <Nr_x002e__x0020_prot_x0020_QBZ xmlns="0e656187-b300-4fb0-8bf4-3a50f872073c">917/1</Nr_x002e__x0020_prot_x0020_QBZ>
    <Data_x0020_e_x0020_Modifikimit xmlns="0e656187-b300-4fb0-8bf4-3a50f872073c">2024-05-27T12:14:40Z</Data_x0020_e_x0020_Modifikimit>
    <Dekretuar xmlns="0e656187-b300-4fb0-8bf4-3a50f872073c">false</Dekretuar>
    <Data xmlns="0e656187-b300-4fb0-8bf4-3a50f872073c">2024-03-05T00:00:00Z</Data>
    <Nr_x002e__x0020_protokolli_x0020_i_x0020_aktit xmlns="0e656187-b300-4fb0-8bf4-3a50f872073c">1961/1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FB016EDB1D024212B1B2851C14318250"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7AEF22B-DBD7-4FB2-B4A3-065C5F36CC04}">
  <ds:schemaRefs>
    <ds:schemaRef ds:uri="http://schemas.microsoft.com/sharepoint/v3/contenttype/forms"/>
  </ds:schemaRefs>
</ds:datastoreItem>
</file>

<file path=customXml/itemProps2.xml><?xml version="1.0" encoding="utf-8"?>
<ds:datastoreItem xmlns:ds="http://schemas.openxmlformats.org/officeDocument/2006/customXml" ds:itemID="{49E09127-BB4E-4120-A69B-46745BD2C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59F64B-E832-4453-A74A-EE4ADC121EA0}">
  <ds:schemaRef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0e656187-b300-4fb0-8bf4-3a50f872073c"/>
    <ds:schemaRef ds:uri="http://purl.org/dc/terms/"/>
    <ds:schemaRef ds:uri="http://purl.org/dc/elements/1.1/"/>
  </ds:schemaRefs>
</ds:datastoreItem>
</file>

<file path=customXml/itemProps4.xml><?xml version="1.0" encoding="utf-8"?>
<ds:datastoreItem xmlns:ds="http://schemas.openxmlformats.org/officeDocument/2006/customXml" ds:itemID="{DC8AB0F8-AE91-45CE-AFCA-6A1F9EB652CD}">
  <ds:schemaRefs>
    <ds:schemaRef ds:uri="http://schemas.microsoft.com/sharepoint/v3/contenttype/forms"/>
  </ds:schemaRefs>
</ds:datastoreItem>
</file>

<file path=customXml/itemProps5.xml><?xml version="1.0" encoding="utf-8"?>
<ds:datastoreItem xmlns:ds="http://schemas.openxmlformats.org/officeDocument/2006/customXml" ds:itemID="{4CA5BEA2-8D4F-4DB1-ABDD-1AB446FB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Suada Daci</dc:creator>
  <cp:lastModifiedBy>Jorina Kryeziu</cp:lastModifiedBy>
  <cp:revision>45</cp:revision>
  <dcterms:created xsi:type="dcterms:W3CDTF">2024-05-27T11:11:00Z</dcterms:created>
  <dcterms:modified xsi:type="dcterms:W3CDTF">2024-05-27T12:11:00Z</dcterms:modified>
</cp:coreProperties>
</file>