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A55B" w14:textId="7430BE58" w:rsidR="00B456DC" w:rsidRPr="00A6502F" w:rsidRDefault="00B456DC" w:rsidP="00B456DC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A6502F">
        <w:rPr>
          <w:rFonts w:ascii="Garamond" w:hAnsi="Garamond"/>
          <w:sz w:val="24"/>
        </w:rPr>
        <w:t>GJYKATA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EVROPIANE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E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TË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DREJTAVE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TË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NJERIUT</w:t>
      </w:r>
      <w:r w:rsidR="00A077E7" w:rsidRPr="00A6502F">
        <w:rPr>
          <w:rFonts w:ascii="Garamond" w:hAnsi="Garamond"/>
          <w:sz w:val="24"/>
        </w:rPr>
        <w:t xml:space="preserve"> </w:t>
      </w:r>
    </w:p>
    <w:p w14:paraId="14A9878F" w14:textId="50A385C0" w:rsidR="00B456DC" w:rsidRPr="00A6502F" w:rsidRDefault="00B456DC" w:rsidP="00B456DC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A6502F">
        <w:rPr>
          <w:rFonts w:ascii="Garamond" w:hAnsi="Garamond"/>
          <w:sz w:val="24"/>
        </w:rPr>
        <w:t>SEKSIONI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I</w:t>
      </w:r>
      <w:r w:rsidR="00A077E7" w:rsidRPr="00A6502F">
        <w:rPr>
          <w:rFonts w:ascii="Garamond" w:hAnsi="Garamond"/>
          <w:sz w:val="24"/>
        </w:rPr>
        <w:t xml:space="preserve"> </w:t>
      </w:r>
      <w:r w:rsidRPr="00A6502F">
        <w:rPr>
          <w:rFonts w:ascii="Garamond" w:hAnsi="Garamond"/>
          <w:sz w:val="24"/>
        </w:rPr>
        <w:t>TRETË</w:t>
      </w:r>
    </w:p>
    <w:p w14:paraId="0CFF44EC" w14:textId="77777777" w:rsidR="00B456DC" w:rsidRPr="00A6502F" w:rsidRDefault="00B456DC" w:rsidP="00B456D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1E2FEC4" w14:textId="4FCBBF30" w:rsidR="00A956F8" w:rsidRPr="00A6502F" w:rsidRDefault="00A956F8" w:rsidP="00B456DC">
      <w:pPr>
        <w:pStyle w:val="JuTitle"/>
        <w:spacing w:before="0" w:after="0"/>
        <w:ind w:firstLine="284"/>
        <w:rPr>
          <w:rFonts w:ascii="Garamond" w:hAnsi="Garamond"/>
        </w:rPr>
      </w:pPr>
      <w:r w:rsidRPr="00A6502F">
        <w:rPr>
          <w:rFonts w:ascii="Garamond" w:hAnsi="Garamond"/>
          <w:color w:val="000000" w:themeColor="text1"/>
        </w:rPr>
        <w:t>ÇËSHTJA</w:t>
      </w:r>
      <w:r w:rsidR="00A077E7" w:rsidRPr="00A6502F">
        <w:rPr>
          <w:rFonts w:ascii="Garamond" w:hAnsi="Garamond"/>
          <w:color w:val="000000" w:themeColor="text1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="00E0144B" w:rsidRPr="00A6502F">
        <w:rPr>
          <w:rFonts w:ascii="Garamond" w:hAnsi="Garamond"/>
        </w:rPr>
        <w:t xml:space="preserve">KUNDËR </w:t>
      </w:r>
      <w:r w:rsidRPr="00A6502F">
        <w:rPr>
          <w:rFonts w:ascii="Garamond" w:hAnsi="Garamond"/>
        </w:rPr>
        <w:t>SHQIPËRISË</w:t>
      </w:r>
    </w:p>
    <w:p w14:paraId="2C54AACD" w14:textId="6D30A318" w:rsidR="00A956F8" w:rsidRPr="00A6502F" w:rsidRDefault="00A956F8" w:rsidP="00B456DC">
      <w:pPr>
        <w:pStyle w:val="ECHRCoverTitle4"/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(Kërkesa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22493/12)</w:t>
      </w:r>
    </w:p>
    <w:p w14:paraId="38443075" w14:textId="77777777" w:rsidR="0084439C" w:rsidRPr="00A6502F" w:rsidRDefault="0084439C" w:rsidP="00B456DC">
      <w:pPr>
        <w:pStyle w:val="DecHCase"/>
        <w:spacing w:after="0"/>
        <w:ind w:firstLine="284"/>
        <w:rPr>
          <w:rFonts w:ascii="Garamond" w:hAnsi="Garamond"/>
        </w:rPr>
      </w:pPr>
    </w:p>
    <w:p w14:paraId="70651166" w14:textId="2B03D052" w:rsidR="00B456DC" w:rsidRPr="00A6502F" w:rsidRDefault="00A956F8" w:rsidP="0084439C">
      <w:pPr>
        <w:pStyle w:val="DecHCase"/>
        <w:spacing w:after="0"/>
        <w:ind w:firstLine="284"/>
      </w:pPr>
      <w:r w:rsidRPr="00A6502F">
        <w:rPr>
          <w:rFonts w:ascii="Garamond" w:hAnsi="Garamond"/>
        </w:rPr>
        <w:t>VENDIM</w:t>
      </w:r>
    </w:p>
    <w:p w14:paraId="792ED945" w14:textId="77777777" w:rsidR="00A956F8" w:rsidRPr="00A6502F" w:rsidRDefault="00A956F8" w:rsidP="00B456DC">
      <w:pPr>
        <w:pStyle w:val="DecHCase"/>
        <w:spacing w:after="0"/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STRASBURG</w:t>
      </w:r>
    </w:p>
    <w:p w14:paraId="1552205C" w14:textId="6AF674EE" w:rsidR="00A956F8" w:rsidRPr="00A6502F" w:rsidRDefault="00A956F8" w:rsidP="00B456DC">
      <w:pPr>
        <w:pStyle w:val="DecHCase"/>
        <w:spacing w:after="0"/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30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janar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2024</w:t>
      </w:r>
    </w:p>
    <w:p w14:paraId="0AB0194E" w14:textId="77777777" w:rsidR="00A956F8" w:rsidRPr="00A6502F" w:rsidRDefault="00A956F8" w:rsidP="00B456DC">
      <w:pPr>
        <w:pStyle w:val="JuPara"/>
        <w:rPr>
          <w:rFonts w:ascii="Garamond" w:hAnsi="Garamond"/>
        </w:rPr>
      </w:pPr>
    </w:p>
    <w:p w14:paraId="20C77B70" w14:textId="2A241514" w:rsidR="00A956F8" w:rsidRPr="00A6502F" w:rsidRDefault="00A956F8" w:rsidP="00B456DC">
      <w:pPr>
        <w:spacing w:after="0" w:line="240" w:lineRule="auto"/>
        <w:ind w:firstLine="284"/>
        <w:rPr>
          <w:rFonts w:ascii="Garamond" w:hAnsi="Garamond"/>
          <w:i/>
          <w:sz w:val="24"/>
          <w:szCs w:val="24"/>
          <w:lang w:val="sq-AL"/>
        </w:rPr>
      </w:pPr>
      <w:r w:rsidRPr="00A6502F">
        <w:rPr>
          <w:rFonts w:ascii="Garamond" w:hAnsi="Garamond"/>
          <w:i/>
          <w:sz w:val="24"/>
          <w:szCs w:val="24"/>
          <w:lang w:val="sq-AL"/>
        </w:rPr>
        <w:t>Ky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është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vendim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përfundimtar,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por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mund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t</w:t>
      </w:r>
      <w:r w:rsidR="00AE1069" w:rsidRPr="00A6502F">
        <w:rPr>
          <w:rFonts w:ascii="Garamond" w:hAnsi="Garamond"/>
          <w:i/>
          <w:sz w:val="24"/>
          <w:szCs w:val="24"/>
          <w:lang w:val="sq-AL"/>
        </w:rPr>
        <w:t>’</w:t>
      </w:r>
      <w:r w:rsidRPr="00A6502F">
        <w:rPr>
          <w:rFonts w:ascii="Garamond" w:hAnsi="Garamond"/>
          <w:i/>
          <w:sz w:val="24"/>
          <w:szCs w:val="24"/>
          <w:lang w:val="sq-AL"/>
        </w:rPr>
        <w:t>i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nënshtrohet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rishikimit</w:t>
      </w:r>
      <w:r w:rsidR="00A077E7" w:rsidRPr="00A6502F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Pr="00A6502F">
        <w:rPr>
          <w:rFonts w:ascii="Garamond" w:hAnsi="Garamond"/>
          <w:i/>
          <w:sz w:val="24"/>
          <w:szCs w:val="24"/>
          <w:lang w:val="sq-AL"/>
        </w:rPr>
        <w:t>redaktorial.</w:t>
      </w:r>
    </w:p>
    <w:p w14:paraId="2CC68204" w14:textId="77777777" w:rsidR="00A956F8" w:rsidRPr="00A6502F" w:rsidRDefault="00A956F8" w:rsidP="00B456DC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p w14:paraId="1D74725D" w14:textId="5545DD72" w:rsidR="00A956F8" w:rsidRPr="00A6502F" w:rsidRDefault="00A956F8" w:rsidP="00B456DC">
      <w:pPr>
        <w:pStyle w:val="JuCase"/>
        <w:rPr>
          <w:rFonts w:ascii="Garamond" w:hAnsi="Garamond"/>
        </w:rPr>
      </w:pP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Shqipërisë,</w:t>
      </w:r>
    </w:p>
    <w:p w14:paraId="17540EC3" w14:textId="1D6D9436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B5127F" w:rsidRPr="00A6502F">
        <w:rPr>
          <w:rFonts w:ascii="Garamond" w:hAnsi="Garamond"/>
        </w:rPr>
        <w:t>v</w:t>
      </w:r>
      <w:r w:rsidRPr="00A6502F">
        <w:rPr>
          <w:rFonts w:ascii="Garamond" w:hAnsi="Garamond"/>
        </w:rPr>
        <w:t>ropiane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Drejtave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Njeriut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(Seksioni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Tretë),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mbledhur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Komitet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përbërë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nga:</w:t>
      </w:r>
    </w:p>
    <w:p w14:paraId="6514E5B7" w14:textId="77777777" w:rsidR="00756DA9" w:rsidRPr="00A6502F" w:rsidRDefault="00A956F8" w:rsidP="00B456DC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Georgios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Serghides</w:t>
      </w:r>
      <w:r w:rsidRPr="00A6502F">
        <w:rPr>
          <w:rFonts w:ascii="Garamond" w:hAnsi="Garamond"/>
          <w:i/>
        </w:rPr>
        <w:t>,</w:t>
      </w:r>
      <w:r w:rsidR="00A077E7" w:rsidRPr="00A6502F">
        <w:rPr>
          <w:rFonts w:ascii="Garamond" w:hAnsi="Garamond"/>
          <w:i/>
        </w:rPr>
        <w:t xml:space="preserve"> </w:t>
      </w:r>
      <w:r w:rsidRPr="00A6502F">
        <w:rPr>
          <w:rFonts w:ascii="Garamond" w:hAnsi="Garamond"/>
          <w:i/>
        </w:rPr>
        <w:t>President</w:t>
      </w:r>
      <w:r w:rsidRPr="00A6502F">
        <w:rPr>
          <w:rFonts w:ascii="Garamond" w:hAnsi="Garamond"/>
        </w:rPr>
        <w:t>,</w:t>
      </w:r>
    </w:p>
    <w:p w14:paraId="7F976551" w14:textId="0F2FC5C3" w:rsidR="00756DA9" w:rsidRPr="00A6502F" w:rsidRDefault="00A956F8" w:rsidP="00B456DC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Darian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Pavli,</w:t>
      </w:r>
    </w:p>
    <w:p w14:paraId="5CD20286" w14:textId="45CE1CB2" w:rsidR="00756DA9" w:rsidRPr="00A6502F" w:rsidRDefault="00A956F8" w:rsidP="00B456DC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Oddný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Mjöll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Arnardóttir</w:t>
      </w:r>
      <w:r w:rsidRPr="00A6502F">
        <w:rPr>
          <w:rFonts w:ascii="Garamond" w:hAnsi="Garamond"/>
          <w:i/>
        </w:rPr>
        <w:t>,</w:t>
      </w:r>
      <w:r w:rsidR="00A077E7" w:rsidRPr="00A6502F">
        <w:rPr>
          <w:rFonts w:ascii="Garamond" w:hAnsi="Garamond"/>
          <w:i/>
        </w:rPr>
        <w:t xml:space="preserve"> </w:t>
      </w:r>
      <w:r w:rsidRPr="00A6502F">
        <w:rPr>
          <w:rFonts w:ascii="Garamond" w:hAnsi="Garamond"/>
          <w:i/>
        </w:rPr>
        <w:t>gjyqtarë</w:t>
      </w:r>
      <w:r w:rsidRPr="00A6502F">
        <w:rPr>
          <w:rFonts w:ascii="Garamond" w:hAnsi="Garamond"/>
        </w:rPr>
        <w:t>,</w:t>
      </w:r>
    </w:p>
    <w:p w14:paraId="0EC7126E" w14:textId="4B1D8041" w:rsidR="00A956F8" w:rsidRPr="00A6502F" w:rsidRDefault="00A956F8" w:rsidP="00B456DC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Olga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Chernishova,</w:t>
      </w:r>
      <w:r w:rsidR="00A077E7" w:rsidRPr="00A6502F">
        <w:rPr>
          <w:rFonts w:ascii="Garamond" w:hAnsi="Garamond"/>
        </w:rPr>
        <w:t xml:space="preserve"> </w:t>
      </w:r>
      <w:r w:rsidR="00510626" w:rsidRPr="00A6502F">
        <w:rPr>
          <w:rFonts w:ascii="Garamond" w:hAnsi="Garamond"/>
          <w:i/>
          <w:iCs/>
        </w:rPr>
        <w:t>zëvendës</w:t>
      </w:r>
      <w:r w:rsidR="00510626" w:rsidRPr="00A6502F">
        <w:rPr>
          <w:rFonts w:ascii="Garamond" w:hAnsi="Garamond"/>
          <w:i/>
        </w:rPr>
        <w:t xml:space="preserve">kancelare </w:t>
      </w:r>
      <w:r w:rsidRPr="00A6502F">
        <w:rPr>
          <w:rFonts w:ascii="Garamond" w:hAnsi="Garamond"/>
          <w:i/>
          <w:iCs/>
        </w:rPr>
        <w:t>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Seksionit</w:t>
      </w:r>
      <w:r w:rsidRPr="00A6502F">
        <w:rPr>
          <w:rFonts w:ascii="Garamond" w:hAnsi="Garamond"/>
          <w:i/>
        </w:rPr>
        <w:t>,</w:t>
      </w:r>
    </w:p>
    <w:p w14:paraId="061AB34C" w14:textId="12938E24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parasysh:</w:t>
      </w:r>
    </w:p>
    <w:p w14:paraId="495D19F7" w14:textId="552EB17E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22493/12)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Republikës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Shqipërisë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34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Mbrojtjen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Drejtave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Lirive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Themelore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Njeriut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Konventa</w:t>
      </w:r>
      <w:r w:rsidR="00A65D21" w:rsidRPr="00A6502F">
        <w:rPr>
          <w:rFonts w:ascii="Garamond" w:hAnsi="Garamond"/>
        </w:rPr>
        <w:t>”</w:t>
      </w:r>
      <w:r w:rsidRPr="00A6502F">
        <w:rPr>
          <w:rFonts w:ascii="Garamond" w:hAnsi="Garamond"/>
        </w:rPr>
        <w:t>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dy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shtetas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shqiptarë,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Rozeta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Bibika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kërkuesit</w:t>
      </w:r>
      <w:r w:rsidR="00A65D21" w:rsidRPr="00A6502F">
        <w:rPr>
          <w:rFonts w:ascii="Garamond" w:hAnsi="Garamond"/>
        </w:rPr>
        <w:t>”</w:t>
      </w:r>
      <w:r w:rsidRPr="00A6502F">
        <w:rPr>
          <w:rFonts w:ascii="Garamond" w:hAnsi="Garamond"/>
        </w:rPr>
        <w:t>),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lindur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1976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1950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përkatësisht,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banim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Tiranë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përfaqësuar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z</w:t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E.</w:t>
      </w:r>
      <w:r w:rsidR="00A65D21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Dobjani,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avokat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licencuar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Tiranë;</w:t>
      </w:r>
    </w:p>
    <w:p w14:paraId="13B9EAC8" w14:textId="490A5AA4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vendimin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njoftuar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Shqipërisë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Qeveria</w:t>
      </w:r>
      <w:r w:rsidR="00A65D21" w:rsidRPr="00A6502F">
        <w:rPr>
          <w:rFonts w:ascii="Garamond" w:hAnsi="Garamond"/>
        </w:rPr>
        <w:t>”</w:t>
      </w:r>
      <w:r w:rsidRPr="00A6502F">
        <w:rPr>
          <w:rFonts w:ascii="Garamond" w:hAnsi="Garamond"/>
        </w:rPr>
        <w:t>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përfaqësuar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="00C420EA" w:rsidRPr="00A6502F">
        <w:rPr>
          <w:rFonts w:ascii="Garamond" w:hAnsi="Garamond"/>
        </w:rPr>
        <w:t xml:space="preserve">agjentja znj. </w:t>
      </w:r>
      <w:r w:rsidRPr="00A6502F">
        <w:rPr>
          <w:rFonts w:ascii="Garamond" w:hAnsi="Garamond"/>
        </w:rPr>
        <w:t>L.</w:t>
      </w:r>
      <w:r w:rsidR="0031015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Mandija,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O.</w:t>
      </w:r>
      <w:r w:rsidR="005E7932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Moçka,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Zyra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Avokatisë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Përgjithshme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Shtetit;</w:t>
      </w:r>
    </w:p>
    <w:p w14:paraId="5E70AA29" w14:textId="26D354F2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parashtrimet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palëve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bëra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parashtrimet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2023;</w:t>
      </w:r>
    </w:p>
    <w:p w14:paraId="233CC6E1" w14:textId="1B811FB9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diskutimit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dyer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mbyllura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janar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2024,</w:t>
      </w:r>
    </w:p>
    <w:p w14:paraId="6DA6735D" w14:textId="092CE88F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t>merr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mëposhtëm,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cili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miratua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datë:</w:t>
      </w:r>
    </w:p>
    <w:p w14:paraId="25A49785" w14:textId="0585064F" w:rsidR="00A956F8" w:rsidRPr="00A6502F" w:rsidRDefault="00A956F8" w:rsidP="00B456DC">
      <w:pPr>
        <w:pStyle w:val="JuHHead"/>
        <w:numPr>
          <w:ilvl w:val="0"/>
          <w:numId w:val="0"/>
        </w:numPr>
        <w:spacing w:before="0" w:beforeAutospacing="0" w:after="0"/>
        <w:ind w:firstLine="284"/>
        <w:rPr>
          <w:rFonts w:ascii="Garamond" w:hAnsi="Garamond"/>
          <w:sz w:val="24"/>
          <w:szCs w:val="24"/>
        </w:rPr>
      </w:pPr>
      <w:r w:rsidRPr="00A6502F">
        <w:rPr>
          <w:rFonts w:ascii="Garamond" w:hAnsi="Garamond"/>
          <w:sz w:val="24"/>
          <w:szCs w:val="24"/>
        </w:rPr>
        <w:t>OBJEKTI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I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ÇËSHTJES</w:t>
      </w:r>
    </w:p>
    <w:p w14:paraId="36558FFA" w14:textId="6693185C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1940</w:t>
      </w:r>
      <w:r w:rsidR="00071246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familjes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konfiskuan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disa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parcela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toke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Fier.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Trashëgimtarët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ligjshëm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S.</w:t>
      </w:r>
      <w:r w:rsidR="00071246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Ha.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vonë,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(vëlla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bookmarkStart w:id="0" w:name="_GoBack"/>
      <w:bookmarkEnd w:id="0"/>
      <w:r w:rsidRPr="00A95B89">
        <w:rPr>
          <w:rFonts w:ascii="Garamond" w:hAnsi="Garamond"/>
        </w:rPr>
        <w:t>mot</w:t>
      </w:r>
      <w:r w:rsidR="006C2DED" w:rsidRPr="00A95B89">
        <w:rPr>
          <w:rFonts w:ascii="Garamond" w:hAnsi="Garamond"/>
        </w:rPr>
        <w:t>.</w:t>
      </w:r>
      <w:r w:rsidRPr="00A95B89">
        <w:rPr>
          <w:rFonts w:ascii="Garamond" w:hAnsi="Garamond"/>
        </w:rPr>
        <w:t>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trashëgimtarë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ligjshëm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mamasë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Ha.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(Pesh.).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1994</w:t>
      </w:r>
      <w:r w:rsidR="003D332D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autorizuar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Komisionin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Kthimit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Kompensimi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Pronave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Fier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pronën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konfiskuar.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vdekjes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</w:t>
      </w:r>
      <w:r w:rsidR="00E00253" w:rsidRPr="00A6502F">
        <w:rPr>
          <w:rFonts w:ascii="Garamond" w:hAnsi="Garamond"/>
        </w:rPr>
        <w:t>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biri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He.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lëshoi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autorizim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depozitoi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tjetër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2008.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regjistruan</w:t>
      </w:r>
      <w:r w:rsidR="00700526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arkivuan,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mungesë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dokumentacioni.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vdiqën</w:t>
      </w:r>
      <w:r w:rsidR="00A077E7" w:rsidRPr="00A6502F">
        <w:rPr>
          <w:rFonts w:ascii="Garamond" w:hAnsi="Garamond"/>
        </w:rPr>
        <w:t xml:space="preserve"> </w:t>
      </w:r>
      <w:r w:rsidR="00AE55D8">
        <w:rPr>
          <w:rFonts w:ascii="Garamond" w:hAnsi="Garamond"/>
        </w:rPr>
        <w:t>m</w:t>
      </w:r>
      <w:r w:rsidRPr="00A6502F">
        <w:rPr>
          <w:rFonts w:ascii="Garamond" w:hAnsi="Garamond"/>
        </w:rPr>
        <w:t>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2008-09.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dytë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vajza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gruaja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Kokalarit</w:t>
      </w:r>
      <w:r w:rsidR="00700526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trashëgimtarët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tij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Kokalarit.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He.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Pesh.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autorizoi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prokurë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mësipërme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bashkuan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dosje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vetme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17/253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numrin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341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ndoqën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procesin,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duket,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2012.</w:t>
      </w:r>
    </w:p>
    <w:p w14:paraId="0B812850" w14:textId="679916E5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2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ata</w:t>
      </w:r>
      <w:r w:rsidR="00A70E95">
        <w:rPr>
          <w:rFonts w:ascii="Garamond" w:hAnsi="Garamond"/>
        </w:rPr>
        <w:t xml:space="preserve"> 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mësipërme.</w:t>
      </w:r>
    </w:p>
    <w:p w14:paraId="74F44B44" w14:textId="416A4F0C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3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="00A70E95">
        <w:rPr>
          <w:rFonts w:ascii="Garamond" w:hAnsi="Garamond"/>
        </w:rPr>
        <w:t>M</w:t>
      </w:r>
      <w:r w:rsidRPr="00A6502F">
        <w:rPr>
          <w:rFonts w:ascii="Garamond" w:hAnsi="Garamond"/>
        </w:rPr>
        <w:t>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2013-14,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dorëzoi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informacionin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dokumentet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mësipërme.</w:t>
      </w:r>
    </w:p>
    <w:bookmarkStart w:id="1" w:name="a"/>
    <w:p w14:paraId="5AF87779" w14:textId="79C8C825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4</w:t>
      </w:r>
      <w:r w:rsidRPr="00A6502F">
        <w:rPr>
          <w:rFonts w:ascii="Garamond" w:hAnsi="Garamond"/>
        </w:rPr>
        <w:fldChar w:fldCharType="end"/>
      </w:r>
      <w:bookmarkEnd w:id="1"/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34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133/2015,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Agjencia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Trajtimit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Pronave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(ATP)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duhej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shqyrtonte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patrajtuara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depozituara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hyrjes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fuqi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atij</w:t>
      </w:r>
      <w:r w:rsidR="00A077E7" w:rsidRPr="00A6502F">
        <w:rPr>
          <w:rFonts w:ascii="Garamond" w:hAnsi="Garamond"/>
        </w:rPr>
        <w:t xml:space="preserve"> </w:t>
      </w:r>
      <w:r w:rsidR="00E2355A" w:rsidRPr="00A6502F">
        <w:rPr>
          <w:rFonts w:ascii="Garamond" w:hAnsi="Garamond"/>
        </w:rPr>
        <w:t>ligji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bërë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kështu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panevojshëm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ATP-së.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ATP-ja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përmbushte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detyrimin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trajtuar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pritje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tashmë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shkurt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atëherë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subjektet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</w:t>
      </w:r>
      <w:r w:rsidR="00AE1069" w:rsidRPr="00A6502F">
        <w:rPr>
          <w:rFonts w:ascii="Garamond" w:hAnsi="Garamond"/>
        </w:rPr>
        <w:t>’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lastRenderedPageBreak/>
        <w:t>drejtohen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Beshiri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(vend.),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29026/06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44,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17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mars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2020).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dhjetor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2022,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afati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mësipërm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referencës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zëvendësua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</w:t>
      </w:r>
      <w:r w:rsidR="00F51B3E" w:rsidRPr="00A6502F">
        <w:rPr>
          <w:rFonts w:ascii="Garamond" w:hAnsi="Garamond"/>
        </w:rPr>
        <w:t>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dhjetor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2024.</w:t>
      </w:r>
    </w:p>
    <w:p w14:paraId="090C3BE5" w14:textId="33789110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5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ankuan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paragrafi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kohëzgjatjen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1994.</w:t>
      </w:r>
      <w:r w:rsidR="006C6328">
        <w:rPr>
          <w:rFonts w:ascii="Garamond" w:hAnsi="Garamond"/>
        </w:rPr>
        <w:t xml:space="preserve"> </w:t>
      </w:r>
    </w:p>
    <w:p w14:paraId="356278FD" w14:textId="6EF7A861" w:rsidR="00A956F8" w:rsidRPr="00A6502F" w:rsidRDefault="00A956F8" w:rsidP="00B456DC">
      <w:pPr>
        <w:pStyle w:val="JuHHead"/>
        <w:tabs>
          <w:tab w:val="clear" w:pos="360"/>
        </w:tabs>
        <w:spacing w:before="0" w:beforeAutospacing="0" w:after="0"/>
        <w:ind w:firstLine="284"/>
        <w:rPr>
          <w:rFonts w:ascii="Garamond" w:hAnsi="Garamond"/>
          <w:sz w:val="24"/>
          <w:szCs w:val="24"/>
        </w:rPr>
      </w:pPr>
      <w:r w:rsidRPr="00A6502F">
        <w:rPr>
          <w:rFonts w:ascii="Garamond" w:hAnsi="Garamond"/>
          <w:sz w:val="24"/>
          <w:szCs w:val="24"/>
        </w:rPr>
        <w:t>VLERËSIMI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I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GJYKATËS</w:t>
      </w:r>
    </w:p>
    <w:p w14:paraId="1DC84F9D" w14:textId="5879CA68" w:rsidR="00A956F8" w:rsidRPr="00A6502F" w:rsidRDefault="00A956F8" w:rsidP="00B456DC">
      <w:pPr>
        <w:pStyle w:val="JuHIRoman"/>
        <w:tabs>
          <w:tab w:val="clear" w:pos="360"/>
        </w:tabs>
        <w:spacing w:before="0" w:beforeAutospacing="0" w:after="0"/>
        <w:ind w:firstLine="284"/>
        <w:rPr>
          <w:rFonts w:ascii="Garamond" w:hAnsi="Garamond"/>
          <w:szCs w:val="24"/>
        </w:rPr>
      </w:pPr>
      <w:r w:rsidRPr="00A6502F">
        <w:rPr>
          <w:rFonts w:ascii="Garamond" w:hAnsi="Garamond"/>
          <w:szCs w:val="24"/>
        </w:rPr>
        <w:t>SHKELJA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E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PRETENDUAR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E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NENIT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6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TË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KONVENTËS</w:t>
      </w:r>
    </w:p>
    <w:p w14:paraId="28A2FB60" w14:textId="24C696EC" w:rsidR="00A956F8" w:rsidRPr="00A6502F" w:rsidRDefault="00B456DC" w:rsidP="00B456DC">
      <w:pPr>
        <w:pStyle w:val="tekstiii"/>
        <w:rPr>
          <w:b/>
        </w:rPr>
      </w:pPr>
      <w:r w:rsidRPr="00A6502F">
        <w:rPr>
          <w:b/>
        </w:rPr>
        <w:t>A.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Parashtrimet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e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palëve</w:t>
      </w:r>
    </w:p>
    <w:p w14:paraId="0F925457" w14:textId="615304AB" w:rsidR="00A956F8" w:rsidRPr="00A6502F" w:rsidRDefault="00A95B89" w:rsidP="00B456DC">
      <w:pPr>
        <w:pStyle w:val="tekstiii"/>
      </w:pPr>
      <w:fldSimple w:instr=" SEQ level0 \*arabic \* MERGEFORMAT ">
        <w:r w:rsidR="00A956F8" w:rsidRPr="00A6502F">
          <w:t>6</w:t>
        </w:r>
      </w:fldSimple>
      <w:r w:rsidR="00A956F8" w:rsidRPr="00A6502F">
        <w:t>.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parashtrimet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tyre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vitin</w:t>
      </w:r>
      <w:r w:rsidR="00A077E7" w:rsidRPr="00A6502F">
        <w:t xml:space="preserve"> </w:t>
      </w:r>
      <w:r w:rsidR="00A956F8" w:rsidRPr="00A6502F">
        <w:t>2013,</w:t>
      </w:r>
      <w:r w:rsidR="00A077E7" w:rsidRPr="00A6502F">
        <w:t xml:space="preserve"> </w:t>
      </w:r>
      <w:r w:rsidR="00A956F8" w:rsidRPr="00A6502F">
        <w:t>Qeveria</w:t>
      </w:r>
      <w:r w:rsidR="00A077E7" w:rsidRPr="00A6502F">
        <w:t xml:space="preserve"> </w:t>
      </w:r>
      <w:r w:rsidR="00A956F8" w:rsidRPr="00A6502F">
        <w:t>u</w:t>
      </w:r>
      <w:r w:rsidR="00A077E7" w:rsidRPr="00A6502F">
        <w:t xml:space="preserve"> </w:t>
      </w:r>
      <w:r w:rsidR="00A956F8" w:rsidRPr="00A6502F">
        <w:t>shpreh</w:t>
      </w:r>
      <w:r w:rsidR="00A077E7" w:rsidRPr="00A6502F">
        <w:t xml:space="preserve"> </w:t>
      </w:r>
      <w:r w:rsidR="00A956F8" w:rsidRPr="00A6502F">
        <w:t>që,</w:t>
      </w:r>
      <w:r w:rsidR="00A077E7" w:rsidRPr="00A6502F">
        <w:t xml:space="preserve"> </w:t>
      </w:r>
      <w:r w:rsidR="00A956F8" w:rsidRPr="00A6502F">
        <w:t>si</w:t>
      </w:r>
      <w:r w:rsidR="00A077E7" w:rsidRPr="00A6502F">
        <w:t xml:space="preserve"> </w:t>
      </w:r>
      <w:r w:rsidR="00A956F8" w:rsidRPr="00A6502F">
        <w:t>trashëgimtarë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ligjshëm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autorizuar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vepruar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emër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E.</w:t>
      </w:r>
      <w:r w:rsidR="00A077E7" w:rsidRPr="00A6502F">
        <w:t xml:space="preserve"> </w:t>
      </w:r>
      <w:r w:rsidR="00A956F8" w:rsidRPr="00A6502F">
        <w:t>Pesh.,</w:t>
      </w:r>
      <w:r w:rsidR="00A077E7" w:rsidRPr="00A6502F">
        <w:t xml:space="preserve"> </w:t>
      </w:r>
      <w:r w:rsidR="00A956F8" w:rsidRPr="00A6502F">
        <w:t>kërkuesit</w:t>
      </w:r>
      <w:r w:rsidR="00A077E7" w:rsidRPr="00A6502F">
        <w:t xml:space="preserve"> </w:t>
      </w:r>
      <w:r w:rsidR="00A956F8" w:rsidRPr="00A6502F">
        <w:t>ndanin</w:t>
      </w:r>
      <w:r w:rsidR="00A077E7" w:rsidRPr="00A6502F">
        <w:t xml:space="preserve"> </w:t>
      </w:r>
      <w:r w:rsidR="00A956F8" w:rsidRPr="00A6502F">
        <w:t>pretendimet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tyre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pronën</w:t>
      </w:r>
      <w:r w:rsidR="00A077E7" w:rsidRPr="00A6502F">
        <w:t xml:space="preserve"> </w:t>
      </w:r>
      <w:r w:rsidR="00A956F8" w:rsidRPr="00A6502F">
        <w:t>me</w:t>
      </w:r>
      <w:r w:rsidR="00A077E7" w:rsidRPr="00A6502F">
        <w:t xml:space="preserve"> </w:t>
      </w:r>
      <w:r w:rsidR="00A956F8" w:rsidRPr="00A6502F">
        <w:t>shumë</w:t>
      </w:r>
      <w:r w:rsidR="00A077E7" w:rsidRPr="00A6502F">
        <w:t xml:space="preserve"> </w:t>
      </w:r>
      <w:r w:rsidR="00A956F8" w:rsidRPr="00A6502F">
        <w:t>pasardhës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tjerë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duhej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qartësonin</w:t>
      </w:r>
      <w:r w:rsidR="00A077E7" w:rsidRPr="00A6502F">
        <w:t xml:space="preserve"> </w:t>
      </w:r>
      <w:r w:rsidR="00A956F8" w:rsidRPr="00A6502F">
        <w:t>pjesën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tyre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pronën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trashëguar.</w:t>
      </w:r>
      <w:r w:rsidR="00A077E7" w:rsidRPr="00A6502F">
        <w:t xml:space="preserve"> </w:t>
      </w:r>
      <w:r w:rsidR="00A956F8" w:rsidRPr="00A6502F">
        <w:t>Procesi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kompensimit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kthimit</w:t>
      </w:r>
      <w:r w:rsidR="00A077E7" w:rsidRPr="00A6502F">
        <w:t xml:space="preserve"> </w:t>
      </w:r>
      <w:r w:rsidR="00A956F8" w:rsidRPr="00A6502F">
        <w:t>ishte</w:t>
      </w:r>
      <w:r w:rsidR="00A077E7" w:rsidRPr="00A6502F">
        <w:t xml:space="preserve"> </w:t>
      </w:r>
      <w:r w:rsidR="00A956F8" w:rsidRPr="00A6502F">
        <w:t>kompleks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shkak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numrit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madh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kërkuesve</w:t>
      </w:r>
      <w:r w:rsidR="00A077E7" w:rsidRPr="00A6502F">
        <w:t xml:space="preserve"> </w:t>
      </w:r>
      <w:r w:rsidR="00A956F8" w:rsidRPr="00A6502F">
        <w:t>përpara</w:t>
      </w:r>
      <w:r w:rsidR="00A077E7" w:rsidRPr="00A6502F">
        <w:t xml:space="preserve"> </w:t>
      </w:r>
      <w:r w:rsidR="00A956F8" w:rsidRPr="00A6502F">
        <w:t>agjencive</w:t>
      </w:r>
      <w:r w:rsidR="00A077E7" w:rsidRPr="00A6502F">
        <w:t xml:space="preserve">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kishin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detyrë</w:t>
      </w:r>
      <w:r w:rsidR="00A077E7" w:rsidRPr="00A6502F">
        <w:t xml:space="preserve"> </w:t>
      </w:r>
      <w:r w:rsidR="00A956F8" w:rsidRPr="00A6502F">
        <w:t>vlerësimin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kërkesave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tyre.</w:t>
      </w:r>
      <w:r w:rsidR="00A077E7" w:rsidRPr="00A6502F">
        <w:t xml:space="preserve"> </w:t>
      </w:r>
      <w:r w:rsidR="00A956F8" w:rsidRPr="00A6502F">
        <w:t>Qeveria</w:t>
      </w:r>
      <w:r w:rsidR="00A077E7" w:rsidRPr="00A6502F">
        <w:t xml:space="preserve"> </w:t>
      </w:r>
      <w:r w:rsidR="00A956F8" w:rsidRPr="00A6502F">
        <w:t>u</w:t>
      </w:r>
      <w:r w:rsidR="00A077E7" w:rsidRPr="00A6502F">
        <w:t xml:space="preserve"> </w:t>
      </w:r>
      <w:r w:rsidR="00A956F8" w:rsidRPr="00A6502F">
        <w:t>shpreh</w:t>
      </w:r>
      <w:r w:rsidR="00A077E7" w:rsidRPr="00A6502F">
        <w:t xml:space="preserve">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kërkuesit</w:t>
      </w:r>
      <w:r w:rsidR="00A077E7" w:rsidRPr="00A6502F">
        <w:t xml:space="preserve"> </w:t>
      </w:r>
      <w:r w:rsidR="00A956F8" w:rsidRPr="00A6502F">
        <w:t>mund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depozitonin</w:t>
      </w:r>
      <w:r w:rsidR="00A077E7" w:rsidRPr="00A6502F">
        <w:t xml:space="preserve"> </w:t>
      </w:r>
      <w:r w:rsidR="00A956F8" w:rsidRPr="00A6502F">
        <w:t>një</w:t>
      </w:r>
      <w:r w:rsidR="00A077E7" w:rsidRPr="00A6502F">
        <w:t xml:space="preserve"> </w:t>
      </w:r>
      <w:r w:rsidR="00A956F8" w:rsidRPr="00A6502F">
        <w:t>padi</w:t>
      </w:r>
      <w:r w:rsidR="00A077E7" w:rsidRPr="00A6502F">
        <w:t xml:space="preserve"> </w:t>
      </w:r>
      <w:r w:rsidR="00A956F8" w:rsidRPr="00A6502F">
        <w:t>civile</w:t>
      </w:r>
      <w:r w:rsidR="00A077E7" w:rsidRPr="00A6502F">
        <w:t xml:space="preserve"> </w:t>
      </w:r>
      <w:r w:rsidR="00A956F8" w:rsidRPr="00A6502F">
        <w:t>sipas</w:t>
      </w:r>
      <w:r w:rsidR="00A077E7" w:rsidRPr="00A6502F">
        <w:t xml:space="preserve"> </w:t>
      </w:r>
      <w:r w:rsidR="00A956F8" w:rsidRPr="00A6502F">
        <w:t>nenit</w:t>
      </w:r>
      <w:r w:rsidR="00A077E7" w:rsidRPr="00A6502F">
        <w:t xml:space="preserve"> </w:t>
      </w:r>
      <w:r w:rsidR="00A956F8" w:rsidRPr="00A6502F">
        <w:t>324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Kodit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Procedurës</w:t>
      </w:r>
      <w:r w:rsidR="00A077E7" w:rsidRPr="00A6502F">
        <w:t xml:space="preserve"> </w:t>
      </w:r>
      <w:r w:rsidR="00A956F8" w:rsidRPr="00A6502F">
        <w:t>Civile</w:t>
      </w:r>
      <w:r w:rsidR="00A077E7" w:rsidRPr="00A6502F">
        <w:t xml:space="preserve"> </w:t>
      </w:r>
      <w:r w:rsidR="00A956F8" w:rsidRPr="00A6502F">
        <w:t>(KPC)</w:t>
      </w:r>
      <w:r w:rsidR="00A077E7" w:rsidRPr="00A6502F">
        <w:t xml:space="preserve"> </w:t>
      </w:r>
      <w:r w:rsidR="00A956F8" w:rsidRPr="00A6502F">
        <w:t>ose</w:t>
      </w:r>
      <w:r w:rsidR="00A077E7" w:rsidRPr="00A6502F">
        <w:t xml:space="preserve"> </w:t>
      </w:r>
      <w:r w:rsidR="00A956F8" w:rsidRPr="00A6502F">
        <w:t>një</w:t>
      </w:r>
      <w:r w:rsidR="00A077E7" w:rsidRPr="00A6502F">
        <w:t xml:space="preserve"> </w:t>
      </w:r>
      <w:r w:rsidR="00A956F8" w:rsidRPr="00A6502F">
        <w:t>padi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dëmshpërblim</w:t>
      </w:r>
      <w:r w:rsidR="00A077E7" w:rsidRPr="00A6502F">
        <w:t xml:space="preserve"> </w:t>
      </w:r>
      <w:r w:rsidR="00A956F8" w:rsidRPr="00A6502F">
        <w:t>kundër</w:t>
      </w:r>
      <w:r w:rsidR="00A077E7" w:rsidRPr="00A6502F">
        <w:t xml:space="preserve"> </w:t>
      </w:r>
      <w:r w:rsidR="00EA35A1" w:rsidRPr="00A6502F">
        <w:t xml:space="preserve">shtetit </w:t>
      </w:r>
      <w:r w:rsidR="00A956F8" w:rsidRPr="00A6502F">
        <w:t>sipas</w:t>
      </w:r>
      <w:r w:rsidR="00A077E7" w:rsidRPr="00A6502F">
        <w:t xml:space="preserve"> </w:t>
      </w:r>
      <w:r w:rsidR="00D74965" w:rsidRPr="00A6502F">
        <w:t>ligji për përgjegjësinë jashtëkontraktore të organeve të administratës shtetërore</w:t>
      </w:r>
      <w:r w:rsidR="00A956F8" w:rsidRPr="00A6502F">
        <w:t>.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parashtrimet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tyre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vitin</w:t>
      </w:r>
      <w:r w:rsidR="00A077E7" w:rsidRPr="00A6502F">
        <w:t xml:space="preserve"> </w:t>
      </w:r>
      <w:r w:rsidR="00A956F8" w:rsidRPr="00A6502F">
        <w:t>2023,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përgjigje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kërkesës</w:t>
      </w:r>
      <w:r w:rsidR="00A077E7" w:rsidRPr="00A6502F">
        <w:t xml:space="preserve"> </w:t>
      </w:r>
      <w:r w:rsidR="00A956F8" w:rsidRPr="00A6502F">
        <w:t>së</w:t>
      </w:r>
      <w:r w:rsidR="00A077E7" w:rsidRPr="00A6502F">
        <w:t xml:space="preserve"> </w:t>
      </w:r>
      <w:r w:rsidR="00A956F8" w:rsidRPr="00A6502F">
        <w:t>Gjykatës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informacion,</w:t>
      </w:r>
      <w:r w:rsidR="00A077E7" w:rsidRPr="00A6502F">
        <w:t xml:space="preserve"> </w:t>
      </w:r>
      <w:r w:rsidR="00A956F8" w:rsidRPr="00A6502F">
        <w:t>Qeveria</w:t>
      </w:r>
      <w:r w:rsidR="00A077E7" w:rsidRPr="00A6502F">
        <w:t xml:space="preserve"> </w:t>
      </w:r>
      <w:r w:rsidR="00A956F8" w:rsidRPr="00A6502F">
        <w:t>u</w:t>
      </w:r>
      <w:r w:rsidR="00A077E7" w:rsidRPr="00A6502F">
        <w:t xml:space="preserve"> </w:t>
      </w:r>
      <w:r w:rsidR="00A956F8" w:rsidRPr="00A6502F">
        <w:t>shpreh</w:t>
      </w:r>
      <w:r w:rsidR="00A077E7" w:rsidRPr="00A6502F">
        <w:t xml:space="preserve">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shkak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ndryshimeve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legjislacionin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kthimin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kompensimin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pronës,</w:t>
      </w:r>
      <w:r w:rsidR="00A077E7" w:rsidRPr="00A6502F">
        <w:t xml:space="preserve"> </w:t>
      </w:r>
      <w:r w:rsidR="00A956F8" w:rsidRPr="00A6502F">
        <w:t>kërkuesit</w:t>
      </w:r>
      <w:r w:rsidR="00A077E7" w:rsidRPr="00A6502F">
        <w:t xml:space="preserve"> </w:t>
      </w:r>
      <w:r w:rsidR="00A956F8" w:rsidRPr="00A6502F">
        <w:t>mund</w:t>
      </w:r>
      <w:r w:rsidR="00A077E7" w:rsidRPr="00A6502F">
        <w:t xml:space="preserve"> </w:t>
      </w:r>
      <w:r w:rsidR="00A956F8" w:rsidRPr="00A6502F">
        <w:t>t</w:t>
      </w:r>
      <w:r w:rsidR="00AE1069" w:rsidRPr="00A6502F">
        <w:t>’</w:t>
      </w:r>
      <w:r w:rsidR="00A956F8" w:rsidRPr="00A6502F">
        <w:t>i</w:t>
      </w:r>
      <w:r w:rsidR="00A077E7" w:rsidRPr="00A6502F">
        <w:t xml:space="preserve"> </w:t>
      </w:r>
      <w:r w:rsidR="00A956F8" w:rsidRPr="00A6502F">
        <w:t>kishin</w:t>
      </w:r>
      <w:r w:rsidR="00A077E7" w:rsidRPr="00A6502F">
        <w:t xml:space="preserve"> </w:t>
      </w:r>
      <w:r w:rsidR="00A956F8" w:rsidRPr="00A6502F">
        <w:t>kërkuar</w:t>
      </w:r>
      <w:r w:rsidR="00A077E7" w:rsidRPr="00A6502F">
        <w:t xml:space="preserve"> </w:t>
      </w:r>
      <w:r w:rsidR="00A956F8" w:rsidRPr="00A6502F">
        <w:t>një</w:t>
      </w:r>
      <w:r w:rsidR="00A077E7" w:rsidRPr="00A6502F">
        <w:t xml:space="preserve"> </w:t>
      </w:r>
      <w:r w:rsidR="00A956F8" w:rsidRPr="00A6502F">
        <w:t>gjykate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vendoste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themelin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padisë</w:t>
      </w:r>
      <w:r w:rsidR="00A077E7" w:rsidRPr="00A6502F">
        <w:t xml:space="preserve"> </w:t>
      </w:r>
      <w:r w:rsidR="00A956F8" w:rsidRPr="00A6502F">
        <w:t>së</w:t>
      </w:r>
      <w:r w:rsidR="00A077E7" w:rsidRPr="00A6502F">
        <w:t xml:space="preserve"> </w:t>
      </w:r>
      <w:r w:rsidR="00A956F8" w:rsidRPr="00A6502F">
        <w:t>tyre,</w:t>
      </w:r>
      <w:r w:rsidR="00A077E7" w:rsidRPr="00A6502F">
        <w:t xml:space="preserve"> </w:t>
      </w:r>
      <w:r w:rsidR="00A956F8" w:rsidRPr="00A6502F">
        <w:t>ndërmjet</w:t>
      </w:r>
      <w:r w:rsidR="00A077E7" w:rsidRPr="00A6502F">
        <w:t xml:space="preserve"> </w:t>
      </w:r>
      <w:r w:rsidR="00A956F8" w:rsidRPr="00A6502F">
        <w:t>shkurtit</w:t>
      </w:r>
      <w:r w:rsidR="00A077E7" w:rsidRPr="00A6502F">
        <w:t xml:space="preserve"> </w:t>
      </w:r>
      <w:r w:rsidR="00A956F8" w:rsidRPr="00A6502F">
        <w:t>2019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dhjetorit</w:t>
      </w:r>
      <w:r w:rsidR="00A077E7" w:rsidRPr="00A6502F">
        <w:t xml:space="preserve"> </w:t>
      </w:r>
      <w:r w:rsidR="00A956F8" w:rsidRPr="00A6502F">
        <w:t>2022,</w:t>
      </w:r>
      <w:r w:rsidR="00A077E7" w:rsidRPr="00A6502F">
        <w:t xml:space="preserve"> </w:t>
      </w:r>
      <w:r w:rsidR="00A956F8" w:rsidRPr="00A6502F">
        <w:t>vlerësimi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padive</w:t>
      </w:r>
      <w:r w:rsidR="00A077E7" w:rsidRPr="00A6502F">
        <w:t xml:space="preserve"> </w:t>
      </w:r>
      <w:r w:rsidR="00A956F8" w:rsidRPr="00A6502F">
        <w:t>më</w:t>
      </w:r>
      <w:r w:rsidR="00A077E7" w:rsidRPr="00A6502F">
        <w:t xml:space="preserve"> </w:t>
      </w:r>
      <w:r w:rsidR="00A956F8" w:rsidRPr="00A6502F">
        <w:t>pas</w:t>
      </w:r>
      <w:r w:rsidR="00A077E7" w:rsidRPr="00A6502F">
        <w:t xml:space="preserve"> </w:t>
      </w:r>
      <w:r w:rsidR="00A956F8" w:rsidRPr="00A6502F">
        <w:t>do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ishte</w:t>
      </w:r>
      <w:r w:rsidR="00A077E7" w:rsidRPr="00A6502F">
        <w:t xml:space="preserve"> </w:t>
      </w:r>
      <w:r w:rsidR="00A956F8" w:rsidRPr="00A6502F">
        <w:t>përsëri</w:t>
      </w:r>
      <w:r w:rsidR="00A077E7" w:rsidRPr="00A6502F">
        <w:t xml:space="preserve"> </w:t>
      </w:r>
      <w:r w:rsidR="00A956F8" w:rsidRPr="00A6502F">
        <w:t>kompetencë</w:t>
      </w:r>
      <w:r w:rsidR="00A077E7" w:rsidRPr="00A6502F">
        <w:t xml:space="preserve"> </w:t>
      </w:r>
      <w:r w:rsidR="00A956F8" w:rsidRPr="00A6502F">
        <w:t>ekskluzive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Agjencisë,</w:t>
      </w:r>
      <w:r w:rsidR="00A077E7" w:rsidRPr="00A6502F">
        <w:t xml:space="preserve"> </w:t>
      </w:r>
      <w:r w:rsidR="00A956F8" w:rsidRPr="00A6502F">
        <w:t>sipas</w:t>
      </w:r>
      <w:r w:rsidR="00A077E7" w:rsidRPr="00A6502F">
        <w:t xml:space="preserve"> </w:t>
      </w:r>
      <w:r w:rsidR="00A956F8" w:rsidRPr="00A6502F">
        <w:t>legjislacionit</w:t>
      </w:r>
      <w:r w:rsidR="00A077E7" w:rsidRPr="00A6502F">
        <w:t xml:space="preserve"> </w:t>
      </w:r>
      <w:r w:rsidR="00A956F8" w:rsidRPr="00A6502F">
        <w:t>ekzistues,</w:t>
      </w:r>
      <w:r w:rsidR="00A077E7" w:rsidRPr="00A6502F">
        <w:t xml:space="preserve"> </w:t>
      </w:r>
      <w:r w:rsidR="00A956F8" w:rsidRPr="00A6502F">
        <w:t>deri</w:t>
      </w:r>
      <w:r w:rsidR="00A077E7" w:rsidRPr="00A6502F">
        <w:t xml:space="preserve"> </w:t>
      </w:r>
      <w:r w:rsidR="008E2355">
        <w:t>m</w:t>
      </w:r>
      <w:r w:rsidR="00A956F8" w:rsidRPr="00A6502F">
        <w:t>ë</w:t>
      </w:r>
      <w:r w:rsidR="00A077E7" w:rsidRPr="00A6502F">
        <w:t xml:space="preserve"> </w:t>
      </w:r>
      <w:r w:rsidR="00A956F8" w:rsidRPr="00A6502F">
        <w:t>31</w:t>
      </w:r>
      <w:r w:rsidR="00A077E7" w:rsidRPr="00A6502F">
        <w:t xml:space="preserve"> </w:t>
      </w:r>
      <w:r w:rsidR="00A956F8" w:rsidRPr="00A6502F">
        <w:t>dhjetor</w:t>
      </w:r>
      <w:r w:rsidR="00A077E7" w:rsidRPr="00A6502F">
        <w:t xml:space="preserve"> </w:t>
      </w:r>
      <w:r w:rsidR="00A956F8" w:rsidRPr="00A6502F">
        <w:t>2024.</w:t>
      </w:r>
      <w:r w:rsidR="00A077E7" w:rsidRPr="00A6502F">
        <w:t xml:space="preserve"> </w:t>
      </w:r>
      <w:r w:rsidR="00A956F8" w:rsidRPr="00A6502F">
        <w:t>Deri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atë</w:t>
      </w:r>
      <w:r w:rsidR="00A077E7" w:rsidRPr="00A6502F">
        <w:t xml:space="preserve"> </w:t>
      </w:r>
      <w:r w:rsidR="00A956F8" w:rsidRPr="00A6502F">
        <w:t>datë,</w:t>
      </w:r>
      <w:r w:rsidR="00A077E7" w:rsidRPr="00A6502F">
        <w:t xml:space="preserve"> </w:t>
      </w:r>
      <w:r w:rsidR="00A956F8" w:rsidRPr="00A6502F">
        <w:t>pretendimi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kërkuesve</w:t>
      </w:r>
      <w:r w:rsidR="00A077E7" w:rsidRPr="00A6502F">
        <w:t xml:space="preserve"> </w:t>
      </w:r>
      <w:r w:rsidR="00A956F8" w:rsidRPr="00A6502F">
        <w:t>do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vijonte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vlerësohej</w:t>
      </w:r>
      <w:r w:rsidR="00A077E7" w:rsidRPr="00A6502F">
        <w:t xml:space="preserve"> </w:t>
      </w:r>
      <w:r w:rsidR="00A956F8" w:rsidRPr="00A6502F">
        <w:t>nga</w:t>
      </w:r>
      <w:r w:rsidR="00A077E7" w:rsidRPr="00A6502F">
        <w:t xml:space="preserve"> </w:t>
      </w:r>
      <w:r w:rsidR="00A956F8" w:rsidRPr="00A6502F">
        <w:t>Agjencia</w:t>
      </w:r>
      <w:r w:rsidR="00A077E7" w:rsidRPr="00A6502F">
        <w:t xml:space="preserve"> </w:t>
      </w:r>
      <w:r w:rsidR="00A956F8" w:rsidRPr="00A6502F">
        <w:t>sipas</w:t>
      </w:r>
      <w:r w:rsidR="00A077E7" w:rsidRPr="00A6502F">
        <w:t xml:space="preserve"> </w:t>
      </w:r>
      <w:r w:rsidR="00A956F8" w:rsidRPr="00A6502F">
        <w:t>ligjit.</w:t>
      </w:r>
    </w:p>
    <w:p w14:paraId="7BBA4580" w14:textId="3100C5F9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7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="00A04CE9">
        <w:rPr>
          <w:rFonts w:ascii="Garamond" w:hAnsi="Garamond"/>
        </w:rPr>
        <w:t>i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përmbajtën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tyre.</w:t>
      </w:r>
    </w:p>
    <w:p w14:paraId="34092CAC" w14:textId="4320EBDE" w:rsidR="00A956F8" w:rsidRPr="00A6502F" w:rsidRDefault="00B456DC" w:rsidP="00B456DC">
      <w:pPr>
        <w:pStyle w:val="tekstiii"/>
        <w:rPr>
          <w:b/>
        </w:rPr>
      </w:pPr>
      <w:r w:rsidRPr="00A6502F">
        <w:rPr>
          <w:b/>
        </w:rPr>
        <w:t>B.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Vlerësimi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i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Gjykatës</w:t>
      </w:r>
    </w:p>
    <w:p w14:paraId="5F038EFC" w14:textId="2972A42E" w:rsidR="00A956F8" w:rsidRPr="00A6502F" w:rsidRDefault="00B456DC" w:rsidP="00B456DC">
      <w:pPr>
        <w:pStyle w:val="tekstiii"/>
        <w:rPr>
          <w:i/>
        </w:rPr>
      </w:pPr>
      <w:r w:rsidRPr="00A6502F">
        <w:rPr>
          <w:i/>
        </w:rPr>
        <w:t>1.</w:t>
      </w:r>
      <w:r w:rsidR="00A077E7" w:rsidRPr="00A6502F">
        <w:rPr>
          <w:i/>
        </w:rPr>
        <w:t xml:space="preserve"> </w:t>
      </w:r>
      <w:r w:rsidR="00A956F8" w:rsidRPr="00A6502F">
        <w:rPr>
          <w:i/>
        </w:rPr>
        <w:t>Pranueshmëria</w:t>
      </w:r>
    </w:p>
    <w:p w14:paraId="269144D9" w14:textId="641DC680" w:rsidR="00A956F8" w:rsidRPr="00A6502F" w:rsidRDefault="00B456DC" w:rsidP="00B456DC">
      <w:pPr>
        <w:pStyle w:val="tekstiii"/>
        <w:rPr>
          <w:b/>
        </w:rPr>
      </w:pPr>
      <w:r w:rsidRPr="00A6502F">
        <w:rPr>
          <w:b/>
        </w:rPr>
        <w:t>a)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Pajtueshmëria</w:t>
      </w:r>
      <w:r w:rsidR="00A077E7" w:rsidRPr="00A6502F">
        <w:rPr>
          <w:b/>
        </w:rPr>
        <w:t xml:space="preserve"> </w:t>
      </w:r>
      <w:r w:rsidR="00A956F8" w:rsidRPr="00A6502F">
        <w:rPr>
          <w:b/>
          <w:i/>
          <w:iCs/>
        </w:rPr>
        <w:t>ratione</w:t>
      </w:r>
      <w:r w:rsidR="00A077E7" w:rsidRPr="00A6502F">
        <w:rPr>
          <w:b/>
          <w:i/>
          <w:iCs/>
        </w:rPr>
        <w:t xml:space="preserve"> </w:t>
      </w:r>
      <w:r w:rsidR="00A956F8" w:rsidRPr="00A6502F">
        <w:rPr>
          <w:b/>
          <w:i/>
          <w:iCs/>
        </w:rPr>
        <w:t>materiae</w:t>
      </w:r>
      <w:r w:rsidR="00A077E7" w:rsidRPr="00A6502F">
        <w:rPr>
          <w:b/>
        </w:rPr>
        <w:t xml:space="preserve"> </w:t>
      </w:r>
      <w:r w:rsidR="00A956F8" w:rsidRPr="00A6502F">
        <w:rPr>
          <w:b/>
        </w:rPr>
        <w:t>dhe</w:t>
      </w:r>
      <w:r w:rsidR="00A077E7" w:rsidRPr="00A6502F">
        <w:rPr>
          <w:b/>
        </w:rPr>
        <w:t xml:space="preserve"> </w:t>
      </w:r>
      <w:r w:rsidR="00A956F8" w:rsidRPr="00A6502F">
        <w:rPr>
          <w:b/>
          <w:i/>
          <w:iCs/>
        </w:rPr>
        <w:t>ratione</w:t>
      </w:r>
      <w:r w:rsidR="00A077E7" w:rsidRPr="00A6502F">
        <w:rPr>
          <w:b/>
          <w:i/>
          <w:iCs/>
        </w:rPr>
        <w:t xml:space="preserve"> </w:t>
      </w:r>
      <w:r w:rsidR="00A956F8" w:rsidRPr="00A6502F">
        <w:rPr>
          <w:b/>
          <w:i/>
          <w:iCs/>
        </w:rPr>
        <w:t>personae</w:t>
      </w:r>
    </w:p>
    <w:p w14:paraId="2E0AF081" w14:textId="11A33F18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8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dakordësuar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palëve</w:t>
      </w:r>
      <w:r w:rsidR="004B2482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4B2482">
        <w:rPr>
          <w:rFonts w:ascii="Garamond" w:hAnsi="Garamond"/>
        </w:rPr>
        <w:t>: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(i)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gjyqësore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bëjnë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drejtë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njihet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akoma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thuhet,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paktën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shkaqe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diskutueshme,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njihet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legjislacionit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shqiptar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bookmarkStart w:id="2" w:name="_cl31185"/>
      <w:bookmarkStart w:id="3" w:name="_cl22120"/>
      <w:r w:rsidRPr="00A6502F">
        <w:rPr>
          <w:rFonts w:ascii="Garamond" w:hAnsi="Garamond"/>
          <w:i/>
          <w:iCs/>
        </w:rPr>
        <w:t>Manushaqe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Puto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bookmarkEnd w:id="2"/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604/07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24-29,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korrik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Beshiri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bookmarkEnd w:id="3"/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7352/03,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20-28,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gusht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2006);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(ii)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bënë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trashëgimtarë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ligjshëm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radhës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pasardhëse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vis-à-vis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personave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pritje,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dukshëm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interes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objektin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="003C082F">
        <w:rPr>
          <w:rFonts w:ascii="Garamond" w:hAnsi="Garamond"/>
        </w:rPr>
        <w:t>a</w:t>
      </w:r>
      <w:r w:rsidRPr="00A6502F">
        <w:rPr>
          <w:rFonts w:ascii="Garamond" w:hAnsi="Garamond"/>
        </w:rPr>
        <w:t>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rezultatin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(iii)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ata</w:t>
      </w:r>
      <w:r w:rsidR="00A077E7" w:rsidRPr="00A6502F">
        <w:rPr>
          <w:rFonts w:ascii="Garamond" w:hAnsi="Garamond"/>
        </w:rPr>
        <w:t xml:space="preserve"> </w:t>
      </w:r>
      <w:r w:rsidR="00650D76">
        <w:rPr>
          <w:rFonts w:ascii="Garamond" w:hAnsi="Garamond"/>
        </w:rPr>
        <w:t>i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bashkuan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vetëm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përfaqësues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personave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(trashëgimtarëve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tjerë).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mungesë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informacionit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specifik,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prezumon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kjo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ndodhur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rreth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vazhdimisht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pritje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depozituan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paraqitën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parashtrimet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vendosën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konsiderojë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vijuese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akumuluar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bookmarkStart w:id="4" w:name="_cl40744"/>
      <w:r w:rsidRPr="00A6502F">
        <w:rPr>
          <w:rFonts w:ascii="Garamond" w:hAnsi="Garamond"/>
          <w:i/>
          <w:iCs/>
        </w:rPr>
        <w:t>Denis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Irvine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Belgjikës</w:t>
      </w:r>
      <w:bookmarkEnd w:id="4"/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[DHM],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62819/17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63921/17,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101,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qershor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2021).</w:t>
      </w:r>
    </w:p>
    <w:p w14:paraId="74B95D20" w14:textId="39BE10EF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9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Zbatueshmëria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aspektit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civil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paragrafi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varet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ekzistenca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mosmarrëveshjeje.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Kështu,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llogaritur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kohëzgjatjen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procesit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-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cilin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zbatohet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afate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arsyeshme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-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="00650D76">
        <w:rPr>
          <w:rFonts w:ascii="Garamond" w:hAnsi="Garamond"/>
        </w:rPr>
        <w:t>i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referuar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kundërshtuan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tjetër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marrë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lindur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mosmarrëveshjeje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drejtë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Wcisło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Cabaj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Polonisë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49725/11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79950/13,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173,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8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nëntor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2018;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krahasoni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Luli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64480/09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5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20-21,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84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89,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2014).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Njëkohësisht,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përputhshmëria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frymën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fjala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kontestim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mosmarrëveshje</w:t>
      </w:r>
      <w:r w:rsidR="00A65D21" w:rsidRPr="00A6502F">
        <w:rPr>
          <w:rFonts w:ascii="Garamond" w:hAnsi="Garamond"/>
        </w:rPr>
        <w:t>”</w:t>
      </w:r>
      <w:r w:rsidRPr="00A6502F">
        <w:rPr>
          <w:rFonts w:ascii="Garamond" w:hAnsi="Garamond"/>
        </w:rPr>
        <w:t>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interpretohet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mënyrë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shumë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teknike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</w:t>
      </w:r>
      <w:r w:rsidR="00AE1069" w:rsidRPr="00A6502F">
        <w:rPr>
          <w:rFonts w:ascii="Garamond" w:hAnsi="Garamond"/>
        </w:rPr>
        <w:t>’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jepet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shumë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kuptim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material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formal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bookmarkStart w:id="5" w:name="_cl42004"/>
      <w:r w:rsidRPr="00A6502F">
        <w:rPr>
          <w:rFonts w:ascii="Garamond" w:hAnsi="Garamond"/>
          <w:i/>
          <w:iCs/>
        </w:rPr>
        <w:t>Gorou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Greqisë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[DHM],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12686/03,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mars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2009,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Miessen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Belgjikës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31517/12,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18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2016</w:t>
      </w:r>
      <w:bookmarkEnd w:id="5"/>
      <w:r w:rsidRPr="00A6502F">
        <w:rPr>
          <w:rFonts w:ascii="Garamond" w:hAnsi="Garamond"/>
        </w:rPr>
        <w:t>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vlerësimin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ekziston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mosmarrëveshje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drejtë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civile,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përtej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dukjes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lastRenderedPageBreak/>
        <w:t>gjuhës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përdorur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përqendrohet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realitetet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situatës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Gorou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(nr.2),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29).</w:t>
      </w:r>
    </w:p>
    <w:p w14:paraId="063693C8" w14:textId="7DD3F66A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10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pritje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ATP-së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fundmi,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kompetencë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veçantë,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thënë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ekskluzive,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lloj</w:t>
      </w:r>
      <w:r w:rsidR="00A077E7" w:rsidRPr="00A6502F">
        <w:rPr>
          <w:rFonts w:ascii="Garamond" w:hAnsi="Garamond"/>
        </w:rPr>
        <w:t xml:space="preserve"> </w:t>
      </w:r>
      <w:bookmarkStart w:id="6" w:name="_cl31909"/>
      <w:r w:rsidRPr="00A6502F">
        <w:rPr>
          <w:rFonts w:ascii="Garamond" w:hAnsi="Garamond"/>
        </w:rPr>
        <w:t>kërkese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legjislacionit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shqiptar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(krahasoni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Miessen</w:t>
      </w:r>
      <w:bookmarkEnd w:id="6"/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46).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vendimtare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vendimmarrjen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natyrë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civile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Ramadhi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38222/02,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35-37,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nëntor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2007).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bënin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ekzistencën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faktike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qëllimin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drejtës,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sidomos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pretendimet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pronësisë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njëjtat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parcela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toke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pretenduara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disa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trashëgimtarë,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përfshirë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(krahasoni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Omdahl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Norvegjisë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46371/18,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47,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prill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2021).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drejtat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civile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janë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përcaktuar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prej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vitesh.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apo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tjetër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</w:t>
      </w:r>
      <w:r w:rsidR="00AE1069" w:rsidRPr="00A6502F">
        <w:rPr>
          <w:rFonts w:ascii="Garamond" w:hAnsi="Garamond"/>
        </w:rPr>
        <w:t>’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përcaktojë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kompetent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paktën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shkurtit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paragrafin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REF a \h </w:instrText>
      </w:r>
      <w:r w:rsidR="00B456DC" w:rsidRPr="00A6502F">
        <w:rPr>
          <w:rFonts w:ascii="Garamond" w:hAnsi="Garamond"/>
        </w:rPr>
        <w:instrText xml:space="preserve"> \* MERGEFORMAT </w:instrText>
      </w:r>
      <w:r w:rsidRPr="00A6502F">
        <w:rPr>
          <w:rFonts w:ascii="Garamond" w:hAnsi="Garamond"/>
        </w:rPr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4</w:t>
      </w:r>
      <w:r w:rsidRPr="00A6502F">
        <w:rPr>
          <w:rFonts w:ascii="Garamond" w:hAnsi="Garamond"/>
        </w:rPr>
        <w:fldChar w:fldCharType="end"/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mundësi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kundërshtonin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mosveprimin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ATP-së,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nxiste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ekzistencën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mosmarrëveshjeje</w:t>
      </w:r>
      <w:r w:rsidR="00A65D21" w:rsidRPr="00A6502F">
        <w:rPr>
          <w:rFonts w:ascii="Garamond" w:hAnsi="Garamond"/>
        </w:rPr>
        <w:t>”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kuptimit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praktikës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gjyqësore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mësipërme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vendimmarrjen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="00A65D21" w:rsidRPr="00A6502F">
        <w:rPr>
          <w:rFonts w:ascii="Garamond" w:hAnsi="Garamond"/>
        </w:rPr>
        <w:t>“</w:t>
      </w:r>
      <w:r w:rsidRPr="00A6502F">
        <w:rPr>
          <w:rFonts w:ascii="Garamond" w:hAnsi="Garamond"/>
        </w:rPr>
        <w:t>tribunal</w:t>
      </w:r>
      <w:r w:rsidR="00A65D21" w:rsidRPr="00A6502F">
        <w:rPr>
          <w:rFonts w:ascii="Garamond" w:hAnsi="Garamond"/>
        </w:rPr>
        <w:t>”</w:t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argumentuar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kundërtën.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Gjithashtu,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përditësimin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çështjen,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pretenduan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ATP</w:t>
      </w:r>
      <w:r w:rsidR="004B7AEE">
        <w:rPr>
          <w:rFonts w:ascii="Garamond" w:hAnsi="Garamond"/>
        </w:rPr>
        <w:t>-ja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nxirrte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afatit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dhjetor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2024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paragrafin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sipër).</w:t>
      </w:r>
    </w:p>
    <w:p w14:paraId="76D01C92" w14:textId="7807B1B1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11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parasysh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parashtrimet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Qeverisë,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rrethana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specifike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çështjes,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bindur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papajtueshme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ratione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materiae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</w:rPr>
        <w:t>ose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personae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662063">
        <w:rPr>
          <w:rFonts w:ascii="Garamond" w:hAnsi="Garamond"/>
        </w:rPr>
        <w:t>-s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njëjtën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linjë,</w:t>
      </w:r>
      <w:r w:rsidR="00A077E7" w:rsidRPr="00A6502F">
        <w:rPr>
          <w:rFonts w:ascii="Garamond" w:hAnsi="Garamond"/>
        </w:rPr>
        <w:t xml:space="preserve"> </w:t>
      </w:r>
      <w:bookmarkStart w:id="7" w:name="_cl22164"/>
      <w:bookmarkStart w:id="8" w:name="_cl30716"/>
      <w:r w:rsidRPr="00A6502F">
        <w:rPr>
          <w:rFonts w:ascii="Garamond" w:hAnsi="Garamond"/>
          <w:i/>
          <w:iCs/>
        </w:rPr>
        <w:t>Bici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bookmarkEnd w:id="7"/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5250/07,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6-11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28-29,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dhjetor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2015;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Luli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bookmarkEnd w:id="8"/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89;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Ramadhi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tjerë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35-37,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sipër).</w:t>
      </w:r>
    </w:p>
    <w:p w14:paraId="28E500BB" w14:textId="6554FC08" w:rsidR="00A956F8" w:rsidRPr="00A6502F" w:rsidRDefault="00A077E7" w:rsidP="00A077E7">
      <w:pPr>
        <w:pStyle w:val="tekstiii"/>
        <w:rPr>
          <w:b/>
        </w:rPr>
      </w:pPr>
      <w:r w:rsidRPr="00A6502F">
        <w:rPr>
          <w:b/>
        </w:rPr>
        <w:t xml:space="preserve">b) </w:t>
      </w:r>
      <w:r w:rsidR="00A956F8" w:rsidRPr="00A6502F">
        <w:rPr>
          <w:b/>
        </w:rPr>
        <w:t>Shterimi</w:t>
      </w:r>
      <w:r w:rsidRPr="00A6502F">
        <w:rPr>
          <w:b/>
        </w:rPr>
        <w:t xml:space="preserve"> </w:t>
      </w:r>
      <w:r w:rsidR="00A956F8" w:rsidRPr="00A6502F">
        <w:rPr>
          <w:b/>
        </w:rPr>
        <w:t>i</w:t>
      </w:r>
      <w:r w:rsidRPr="00A6502F">
        <w:rPr>
          <w:b/>
        </w:rPr>
        <w:t xml:space="preserve"> </w:t>
      </w:r>
      <w:r w:rsidR="00A956F8" w:rsidRPr="00A6502F">
        <w:rPr>
          <w:b/>
        </w:rPr>
        <w:t>mjeteve</w:t>
      </w:r>
      <w:r w:rsidRPr="00A6502F">
        <w:rPr>
          <w:b/>
        </w:rPr>
        <w:t xml:space="preserve"> </w:t>
      </w:r>
      <w:r w:rsidR="00A956F8" w:rsidRPr="00A6502F">
        <w:rPr>
          <w:b/>
        </w:rPr>
        <w:t>juridike</w:t>
      </w:r>
      <w:r w:rsidRPr="00A6502F">
        <w:rPr>
          <w:b/>
        </w:rPr>
        <w:t xml:space="preserve"> </w:t>
      </w:r>
      <w:r w:rsidR="00A956F8" w:rsidRPr="00A6502F">
        <w:rPr>
          <w:b/>
        </w:rPr>
        <w:t>të</w:t>
      </w:r>
      <w:r w:rsidRPr="00A6502F">
        <w:rPr>
          <w:b/>
        </w:rPr>
        <w:t xml:space="preserve"> </w:t>
      </w:r>
      <w:r w:rsidR="00A956F8" w:rsidRPr="00A6502F">
        <w:rPr>
          <w:b/>
        </w:rPr>
        <w:t>brendshme</w:t>
      </w:r>
    </w:p>
    <w:p w14:paraId="7459CACA" w14:textId="65B8DACA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12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referencën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padi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civile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324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KPC</w:t>
      </w:r>
      <w:r w:rsidR="00BE2B4F">
        <w:rPr>
          <w:rFonts w:ascii="Garamond" w:hAnsi="Garamond"/>
        </w:rPr>
        <w:t>-s</w:t>
      </w:r>
      <w:r w:rsidR="00BE2B4F" w:rsidRPr="00A6502F">
        <w:rPr>
          <w:rFonts w:ascii="Garamond" w:hAnsi="Garamond"/>
        </w:rPr>
        <w:t>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padie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dëmshpërblim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përgjegjësinë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jashtëkontraktore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organeve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shtetërore,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refuzuar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tashmë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kundërshtimet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ngjashme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Bici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32-33).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shkaqe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justifikojnë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distancimin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konstatime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fjalë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kohëzgjatjen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fjalë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(pra,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thirrur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vendosur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padi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legjislacionit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vijues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="00C22222" w:rsidRPr="00A6502F">
        <w:rPr>
          <w:rFonts w:ascii="Garamond" w:hAnsi="Garamond"/>
        </w:rPr>
        <w:t xml:space="preserve">ligji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133/2015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paragrafin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REF a \h </w:instrText>
      </w:r>
      <w:r w:rsidR="00B456DC" w:rsidRPr="00A6502F">
        <w:rPr>
          <w:rFonts w:ascii="Garamond" w:hAnsi="Garamond"/>
        </w:rPr>
        <w:instrText xml:space="preserve"> \* MERGEFORMAT </w:instrText>
      </w:r>
      <w:r w:rsidRPr="00A6502F">
        <w:rPr>
          <w:rFonts w:ascii="Garamond" w:hAnsi="Garamond"/>
        </w:rPr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4</w:t>
      </w:r>
      <w:r w:rsidRPr="00A6502F">
        <w:rPr>
          <w:rFonts w:ascii="Garamond" w:hAnsi="Garamond"/>
        </w:rPr>
        <w:fldChar w:fldCharType="end"/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juridik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ishte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dispozicion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shkurtit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duket,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deri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dhjetor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2022)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ishte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gjendje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siguronte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korrigjimin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duhur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përkatëse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dhe/ose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përshpejtonte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(administrativ).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Argumenti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rrëzuar.</w:t>
      </w:r>
    </w:p>
    <w:p w14:paraId="33C5A4D0" w14:textId="0855AF74" w:rsidR="00A956F8" w:rsidRPr="00A6502F" w:rsidRDefault="00A077E7" w:rsidP="00A077E7">
      <w:pPr>
        <w:pStyle w:val="tekstiii"/>
        <w:rPr>
          <w:b/>
        </w:rPr>
      </w:pPr>
      <w:r w:rsidRPr="00A6502F">
        <w:rPr>
          <w:b/>
        </w:rPr>
        <w:t xml:space="preserve">c) </w:t>
      </w:r>
      <w:r w:rsidR="00A956F8" w:rsidRPr="00A6502F">
        <w:rPr>
          <w:b/>
        </w:rPr>
        <w:t>Konkluzione</w:t>
      </w:r>
      <w:r w:rsidRPr="00A6502F">
        <w:rPr>
          <w:b/>
        </w:rPr>
        <w:t xml:space="preserve"> </w:t>
      </w:r>
      <w:r w:rsidR="00A956F8" w:rsidRPr="00A6502F">
        <w:rPr>
          <w:b/>
        </w:rPr>
        <w:t>mbi</w:t>
      </w:r>
      <w:r w:rsidRPr="00A6502F">
        <w:rPr>
          <w:b/>
        </w:rPr>
        <w:t xml:space="preserve"> </w:t>
      </w:r>
      <w:r w:rsidR="00A956F8" w:rsidRPr="00A6502F">
        <w:rPr>
          <w:b/>
        </w:rPr>
        <w:t>pranueshmërinë</w:t>
      </w:r>
    </w:p>
    <w:p w14:paraId="40509C19" w14:textId="3D0D7348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13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del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konkluzionin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kjo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haptazi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pabazuar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kuptimit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35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(a)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përcaktuar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shkaqe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tjera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shpallur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papranueshme.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Prandaj,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shpallet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pranueshme.</w:t>
      </w:r>
    </w:p>
    <w:p w14:paraId="6F81516E" w14:textId="5FE72CED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14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nevojshme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shqyrtojë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C22222">
        <w:rPr>
          <w:rFonts w:ascii="Garamond" w:hAnsi="Garamond"/>
        </w:rPr>
        <w:t>-s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2019.</w:t>
      </w:r>
    </w:p>
    <w:p w14:paraId="4F1DEDCF" w14:textId="48894651" w:rsidR="00A956F8" w:rsidRPr="00A6502F" w:rsidRDefault="00A077E7" w:rsidP="00A077E7">
      <w:pPr>
        <w:pStyle w:val="tekstiii"/>
        <w:rPr>
          <w:i/>
        </w:rPr>
      </w:pPr>
      <w:r w:rsidRPr="00A6502F">
        <w:rPr>
          <w:i/>
        </w:rPr>
        <w:t xml:space="preserve">2. </w:t>
      </w:r>
      <w:r w:rsidR="00A956F8" w:rsidRPr="00A6502F">
        <w:rPr>
          <w:i/>
        </w:rPr>
        <w:t>Themeli</w:t>
      </w:r>
    </w:p>
    <w:p w14:paraId="4A38F9FC" w14:textId="08C2ED37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15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parasysh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zbatueshme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Bici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41),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përjashton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faktin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relativisht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komplekse.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Gjithashtu,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lënë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mënjanë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vonesën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kuptueshme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rrjedh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Shtetit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paditur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zbatuar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skemë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legjislative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gjithëpërfshirëse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kthimin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kompensimin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pronës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konfiskuar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regjistrimin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konsiderueshëm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përpara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autoriteteve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kompetente,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mbetet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Shtetet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Kontaktuese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organizojnë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sistemet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mënyrë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përmbushin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Bici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44,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mutatis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mutandis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bookmarkStart w:id="9" w:name="_cl40989"/>
      <w:r w:rsidRPr="00A6502F">
        <w:rPr>
          <w:rFonts w:ascii="Garamond" w:hAnsi="Garamond"/>
          <w:i/>
          <w:iCs/>
        </w:rPr>
        <w:t>Bara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dhe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Kola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Shqipërisë</w:t>
      </w:r>
      <w:bookmarkEnd w:id="9"/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43391/18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17766/19,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70,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tetor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2021).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përfundim,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lastRenderedPageBreak/>
        <w:t>2012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atribuohet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vonesë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ose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mosveprim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konsiderueshëm,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shembull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paraqitjen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dokumenteve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thelbësore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vendimmarrjen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mbi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tyre.</w:t>
      </w:r>
    </w:p>
    <w:p w14:paraId="06DB25F2" w14:textId="0F8BC192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16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rrethana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është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shkelur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periudhën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fillimit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2019.</w:t>
      </w:r>
    </w:p>
    <w:p w14:paraId="204B6FE3" w14:textId="6B41C0EE" w:rsidR="00A956F8" w:rsidRPr="00A6502F" w:rsidRDefault="00A956F8" w:rsidP="00B456DC">
      <w:pPr>
        <w:pStyle w:val="JuHIRoman"/>
        <w:tabs>
          <w:tab w:val="clear" w:pos="360"/>
          <w:tab w:val="left" w:pos="567"/>
          <w:tab w:val="left" w:pos="680"/>
        </w:tabs>
        <w:spacing w:before="0" w:beforeAutospacing="0" w:after="0"/>
        <w:ind w:firstLine="284"/>
        <w:rPr>
          <w:rFonts w:ascii="Garamond" w:hAnsi="Garamond"/>
          <w:szCs w:val="24"/>
        </w:rPr>
      </w:pPr>
      <w:r w:rsidRPr="00A6502F">
        <w:rPr>
          <w:rFonts w:ascii="Garamond" w:hAnsi="Garamond"/>
          <w:szCs w:val="24"/>
        </w:rPr>
        <w:t>ANKIMIME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TË</w:t>
      </w:r>
      <w:r w:rsidR="00A077E7" w:rsidRPr="00A6502F">
        <w:rPr>
          <w:rFonts w:ascii="Garamond" w:hAnsi="Garamond"/>
          <w:szCs w:val="24"/>
        </w:rPr>
        <w:t xml:space="preserve"> </w:t>
      </w:r>
      <w:r w:rsidRPr="00A6502F">
        <w:rPr>
          <w:rFonts w:ascii="Garamond" w:hAnsi="Garamond"/>
          <w:szCs w:val="24"/>
        </w:rPr>
        <w:t>TJERA</w:t>
      </w:r>
    </w:p>
    <w:p w14:paraId="09100912" w14:textId="030FF7E7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17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Gjithashtu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referuan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13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="00B8019B">
        <w:rPr>
          <w:rFonts w:ascii="Garamond" w:hAnsi="Garamond"/>
        </w:rPr>
        <w:t xml:space="preserve">të </w:t>
      </w:r>
      <w:r w:rsidR="00B8019B" w:rsidRPr="00A6502F">
        <w:rPr>
          <w:rFonts w:ascii="Garamond" w:hAnsi="Garamond"/>
        </w:rPr>
        <w:t xml:space="preserve">protokollit </w:t>
      </w:r>
      <w:r w:rsidRPr="00A6502F">
        <w:rPr>
          <w:rFonts w:ascii="Garamond" w:hAnsi="Garamond"/>
        </w:rPr>
        <w:t>nr.</w:t>
      </w:r>
      <w:r w:rsidR="00B8019B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kohëzgjatjen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proceseve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administrative.</w:t>
      </w:r>
    </w:p>
    <w:p w14:paraId="4738B475" w14:textId="77769EB5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\* MERGEFORMAT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18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vendosë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janë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pranueshme,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sidomos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ratione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materiae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="00B8019B">
        <w:rPr>
          <w:rFonts w:ascii="Garamond" w:hAnsi="Garamond"/>
        </w:rPr>
        <w:t>p</w:t>
      </w:r>
      <w:r w:rsidRPr="00A6502F">
        <w:rPr>
          <w:rFonts w:ascii="Garamond" w:hAnsi="Garamond"/>
        </w:rPr>
        <w:t>rotokollit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B8019B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Bici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cituar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52).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parasysh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faktet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çështjes,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parashtrimet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palëve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gjetjet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saj,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vlerëson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shqyrtuar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pyetjen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kryesore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ligjore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ngritur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çështje.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Kështu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ajo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konstaton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marrë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veçantë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ndërmjetëm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(shihni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Qendra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për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Burime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Ligjore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në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emër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të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Valentin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Câmpeanu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kundër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Rumanisë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[DHM],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nr.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47848/08,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§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156,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GJEDNJ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2014).</w:t>
      </w:r>
    </w:p>
    <w:p w14:paraId="656FB9D4" w14:textId="26C704AF" w:rsidR="00A956F8" w:rsidRPr="00A6502F" w:rsidRDefault="00A956F8" w:rsidP="00B456DC">
      <w:pPr>
        <w:pStyle w:val="JuHHead"/>
        <w:tabs>
          <w:tab w:val="clear" w:pos="360"/>
        </w:tabs>
        <w:spacing w:before="0" w:beforeAutospacing="0" w:after="0"/>
        <w:ind w:firstLine="284"/>
        <w:rPr>
          <w:rFonts w:ascii="Garamond" w:hAnsi="Garamond"/>
          <w:sz w:val="24"/>
          <w:szCs w:val="24"/>
        </w:rPr>
      </w:pPr>
      <w:r w:rsidRPr="00A6502F">
        <w:rPr>
          <w:rFonts w:ascii="Garamond" w:hAnsi="Garamond"/>
          <w:caps w:val="0"/>
          <w:sz w:val="24"/>
          <w:szCs w:val="24"/>
        </w:rPr>
        <w:t>ZBATIMI</w:t>
      </w:r>
      <w:r w:rsidR="00A077E7" w:rsidRPr="00A6502F">
        <w:rPr>
          <w:rFonts w:ascii="Garamond" w:hAnsi="Garamond"/>
          <w:caps w:val="0"/>
          <w:sz w:val="24"/>
          <w:szCs w:val="24"/>
        </w:rPr>
        <w:t xml:space="preserve"> </w:t>
      </w:r>
      <w:r w:rsidRPr="00A6502F">
        <w:rPr>
          <w:rFonts w:ascii="Garamond" w:hAnsi="Garamond"/>
          <w:caps w:val="0"/>
          <w:sz w:val="24"/>
          <w:szCs w:val="24"/>
        </w:rPr>
        <w:t>I</w:t>
      </w:r>
      <w:r w:rsidR="00A077E7" w:rsidRPr="00A6502F">
        <w:rPr>
          <w:rFonts w:ascii="Garamond" w:hAnsi="Garamond"/>
          <w:caps w:val="0"/>
          <w:sz w:val="24"/>
          <w:szCs w:val="24"/>
        </w:rPr>
        <w:t xml:space="preserve"> </w:t>
      </w:r>
      <w:r w:rsidRPr="00A6502F">
        <w:rPr>
          <w:rFonts w:ascii="Garamond" w:hAnsi="Garamond"/>
          <w:caps w:val="0"/>
          <w:sz w:val="24"/>
          <w:szCs w:val="24"/>
        </w:rPr>
        <w:t>NENIT</w:t>
      </w:r>
      <w:r w:rsidR="00A077E7" w:rsidRPr="00A6502F">
        <w:rPr>
          <w:rFonts w:ascii="Garamond" w:hAnsi="Garamond"/>
          <w:caps w:val="0"/>
          <w:sz w:val="24"/>
          <w:szCs w:val="24"/>
        </w:rPr>
        <w:t xml:space="preserve"> </w:t>
      </w:r>
      <w:r w:rsidRPr="00A6502F">
        <w:rPr>
          <w:rFonts w:ascii="Garamond" w:hAnsi="Garamond"/>
          <w:caps w:val="0"/>
          <w:sz w:val="24"/>
          <w:szCs w:val="24"/>
        </w:rPr>
        <w:t>41</w:t>
      </w:r>
      <w:r w:rsidR="00A077E7" w:rsidRPr="00A6502F">
        <w:rPr>
          <w:rFonts w:ascii="Garamond" w:hAnsi="Garamond"/>
          <w:caps w:val="0"/>
          <w:sz w:val="24"/>
          <w:szCs w:val="24"/>
        </w:rPr>
        <w:t xml:space="preserve"> </w:t>
      </w:r>
      <w:r w:rsidRPr="00A6502F">
        <w:rPr>
          <w:rFonts w:ascii="Garamond" w:hAnsi="Garamond"/>
          <w:caps w:val="0"/>
          <w:sz w:val="24"/>
          <w:szCs w:val="24"/>
        </w:rPr>
        <w:t>TË</w:t>
      </w:r>
      <w:r w:rsidR="00A077E7" w:rsidRPr="00A6502F">
        <w:rPr>
          <w:rFonts w:ascii="Garamond" w:hAnsi="Garamond"/>
          <w:caps w:val="0"/>
          <w:sz w:val="24"/>
          <w:szCs w:val="24"/>
        </w:rPr>
        <w:t xml:space="preserve"> </w:t>
      </w:r>
      <w:r w:rsidRPr="00A6502F">
        <w:rPr>
          <w:rFonts w:ascii="Garamond" w:hAnsi="Garamond"/>
          <w:caps w:val="0"/>
          <w:sz w:val="24"/>
          <w:szCs w:val="24"/>
        </w:rPr>
        <w:t>KONVENTËS</w:t>
      </w:r>
    </w:p>
    <w:p w14:paraId="0A38E53E" w14:textId="5F225E10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19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2013,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kërkuan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9.113.408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euro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(EUR)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dëmin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monetar,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1.000.000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euro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dëmin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jomonetar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6.078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euro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kosto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shpenzime.</w:t>
      </w:r>
    </w:p>
    <w:p w14:paraId="43BF2C3A" w14:textId="28901FB0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20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Qeveria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kundërshtoi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pretendimet,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  <w:i/>
          <w:iCs/>
        </w:rPr>
        <w:t>inter</w:t>
      </w:r>
      <w:r w:rsidR="00A077E7" w:rsidRPr="00A6502F">
        <w:rPr>
          <w:rFonts w:ascii="Garamond" w:hAnsi="Garamond"/>
          <w:i/>
          <w:iCs/>
        </w:rPr>
        <w:t xml:space="preserve"> </w:t>
      </w:r>
      <w:r w:rsidRPr="00A6502F">
        <w:rPr>
          <w:rFonts w:ascii="Garamond" w:hAnsi="Garamond"/>
          <w:i/>
          <w:iCs/>
        </w:rPr>
        <w:t>alia</w:t>
      </w:r>
      <w:r w:rsidRPr="00A6502F">
        <w:rPr>
          <w:rFonts w:ascii="Garamond" w:hAnsi="Garamond"/>
        </w:rPr>
        <w:t>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sepse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kishin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marrë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ndonjë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vendim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autoriteti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administrativ.</w:t>
      </w:r>
    </w:p>
    <w:p w14:paraId="18108976" w14:textId="0BA92977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21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nuk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dallon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ndonjë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shkakësore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shkeljes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gjetur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sipas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nenit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6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Konventës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kohëzgjatjen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procesit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ndërmjet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2012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vitit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2019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dëmit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monetar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pretenduar;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prandaj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refuzon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Ajo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cakton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2.500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euro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kërkuesit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bashku,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lidhje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dëmin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jomonetar,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plus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çdo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taksë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që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mund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t</w:t>
      </w:r>
      <w:r w:rsidR="00AE1069" w:rsidRPr="00A6502F">
        <w:rPr>
          <w:rFonts w:ascii="Garamond" w:hAnsi="Garamond"/>
        </w:rPr>
        <w:t>’</w:t>
      </w:r>
      <w:r w:rsidRPr="00A6502F">
        <w:rPr>
          <w:rFonts w:ascii="Garamond" w:hAnsi="Garamond"/>
        </w:rPr>
        <w:t>u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jetë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ngarkuar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atyre.</w:t>
      </w:r>
    </w:p>
    <w:p w14:paraId="4D7625EB" w14:textId="7E5D511E" w:rsidR="00A956F8" w:rsidRPr="00A6502F" w:rsidRDefault="00A956F8" w:rsidP="00B456DC">
      <w:pPr>
        <w:pStyle w:val="JuPara"/>
        <w:rPr>
          <w:rFonts w:ascii="Garamond" w:hAnsi="Garamond"/>
        </w:rPr>
      </w:pPr>
      <w:r w:rsidRPr="00A6502F">
        <w:rPr>
          <w:rFonts w:ascii="Garamond" w:hAnsi="Garamond"/>
        </w:rPr>
        <w:fldChar w:fldCharType="begin"/>
      </w:r>
      <w:r w:rsidRPr="00A6502F">
        <w:rPr>
          <w:rFonts w:ascii="Garamond" w:hAnsi="Garamond"/>
        </w:rPr>
        <w:instrText xml:space="preserve"> SEQ level0 \*arabic </w:instrText>
      </w:r>
      <w:r w:rsidRPr="00A6502F">
        <w:rPr>
          <w:rFonts w:ascii="Garamond" w:hAnsi="Garamond"/>
        </w:rPr>
        <w:fldChar w:fldCharType="separate"/>
      </w:r>
      <w:r w:rsidRPr="00A6502F">
        <w:rPr>
          <w:rFonts w:ascii="Garamond" w:hAnsi="Garamond"/>
        </w:rPr>
        <w:t>22</w:t>
      </w:r>
      <w:r w:rsidRPr="00A6502F">
        <w:rPr>
          <w:rFonts w:ascii="Garamond" w:hAnsi="Garamond"/>
        </w:rPr>
        <w:fldChar w:fldCharType="end"/>
      </w:r>
      <w:r w:rsidRPr="00A6502F">
        <w:rPr>
          <w:rFonts w:ascii="Garamond" w:hAnsi="Garamond"/>
        </w:rPr>
        <w:t>.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Duke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pasur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parasysh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dokumentet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në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posedim,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Gjykata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rrëzoi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kërkesën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për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kosto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dhe</w:t>
      </w:r>
      <w:r w:rsidR="00A077E7" w:rsidRPr="00A6502F">
        <w:rPr>
          <w:rFonts w:ascii="Garamond" w:hAnsi="Garamond"/>
        </w:rPr>
        <w:t xml:space="preserve"> </w:t>
      </w:r>
      <w:r w:rsidRPr="00A6502F">
        <w:rPr>
          <w:rFonts w:ascii="Garamond" w:hAnsi="Garamond"/>
        </w:rPr>
        <w:t>shpenzime.</w:t>
      </w:r>
    </w:p>
    <w:p w14:paraId="2DF03FA7" w14:textId="77777777" w:rsidR="001C337F" w:rsidRDefault="001C337F" w:rsidP="00B456DC">
      <w:pPr>
        <w:pStyle w:val="JuHHead"/>
        <w:tabs>
          <w:tab w:val="clear" w:pos="360"/>
        </w:tabs>
        <w:spacing w:before="0" w:beforeAutospacing="0" w:after="0"/>
        <w:ind w:firstLine="284"/>
        <w:rPr>
          <w:rFonts w:ascii="Garamond" w:hAnsi="Garamond"/>
          <w:sz w:val="24"/>
          <w:szCs w:val="24"/>
        </w:rPr>
      </w:pPr>
    </w:p>
    <w:p w14:paraId="48998F19" w14:textId="4B58EFB1" w:rsidR="00A956F8" w:rsidRPr="00A6502F" w:rsidRDefault="00A956F8" w:rsidP="001C337F">
      <w:pPr>
        <w:pStyle w:val="JuHHead"/>
        <w:tabs>
          <w:tab w:val="clear" w:pos="360"/>
        </w:tabs>
        <w:spacing w:before="0" w:beforeAutospacing="0" w:after="0"/>
        <w:ind w:firstLine="284"/>
        <w:jc w:val="center"/>
        <w:rPr>
          <w:rFonts w:ascii="Garamond" w:hAnsi="Garamond"/>
          <w:sz w:val="24"/>
          <w:szCs w:val="24"/>
        </w:rPr>
      </w:pPr>
      <w:r w:rsidRPr="00A6502F">
        <w:rPr>
          <w:rFonts w:ascii="Garamond" w:hAnsi="Garamond"/>
          <w:sz w:val="24"/>
          <w:szCs w:val="24"/>
        </w:rPr>
        <w:t>PËR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KËTO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ARSYE,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GJYKATA,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ME</w:t>
      </w:r>
      <w:r w:rsidR="00A077E7" w:rsidRPr="00A6502F">
        <w:rPr>
          <w:rFonts w:ascii="Garamond" w:hAnsi="Garamond"/>
          <w:sz w:val="24"/>
          <w:szCs w:val="24"/>
        </w:rPr>
        <w:t xml:space="preserve"> </w:t>
      </w:r>
      <w:r w:rsidRPr="00A6502F">
        <w:rPr>
          <w:rFonts w:ascii="Garamond" w:hAnsi="Garamond"/>
          <w:sz w:val="24"/>
          <w:szCs w:val="24"/>
        </w:rPr>
        <w:t>UNANIMITET,</w:t>
      </w:r>
    </w:p>
    <w:p w14:paraId="08F95BE2" w14:textId="77777777" w:rsidR="001C337F" w:rsidRDefault="001C337F" w:rsidP="003439F3">
      <w:pPr>
        <w:pStyle w:val="tekstiii"/>
        <w:rPr>
          <w:i/>
        </w:rPr>
      </w:pPr>
    </w:p>
    <w:p w14:paraId="46138D0C" w14:textId="74C6C826" w:rsidR="00A956F8" w:rsidRPr="00A6502F" w:rsidRDefault="003439F3" w:rsidP="003439F3">
      <w:pPr>
        <w:pStyle w:val="tekstiii"/>
      </w:pPr>
      <w:r w:rsidRPr="00A6502F">
        <w:rPr>
          <w:i/>
        </w:rPr>
        <w:t xml:space="preserve">1. </w:t>
      </w:r>
      <w:r w:rsidR="00A956F8" w:rsidRPr="00A6502F">
        <w:rPr>
          <w:i/>
        </w:rPr>
        <w:t>shpall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pranueshme</w:t>
      </w:r>
      <w:r w:rsidR="00A077E7" w:rsidRPr="00A6502F">
        <w:t xml:space="preserve"> </w:t>
      </w:r>
      <w:r w:rsidR="00A956F8" w:rsidRPr="00A6502F">
        <w:t>kërkesën</w:t>
      </w:r>
      <w:r w:rsidR="00A077E7" w:rsidRPr="00A6502F">
        <w:t xml:space="preserve"> </w:t>
      </w:r>
      <w:r w:rsidR="00A956F8" w:rsidRPr="00A6502F">
        <w:t>sipas</w:t>
      </w:r>
      <w:r w:rsidR="00A077E7" w:rsidRPr="00A6502F">
        <w:t xml:space="preserve"> </w:t>
      </w:r>
      <w:r w:rsidR="00A956F8" w:rsidRPr="00A6502F">
        <w:t>nenit</w:t>
      </w:r>
      <w:r w:rsidR="00A077E7" w:rsidRPr="00A6502F">
        <w:t xml:space="preserve"> </w:t>
      </w:r>
      <w:r w:rsidR="00A956F8" w:rsidRPr="00A6502F">
        <w:t>6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Konventës</w:t>
      </w:r>
      <w:r w:rsidR="00A077E7" w:rsidRPr="00A6502F">
        <w:t xml:space="preserve"> </w:t>
      </w:r>
      <w:r w:rsidR="00A956F8" w:rsidRPr="00A6502F">
        <w:t>(në</w:t>
      </w:r>
      <w:r w:rsidR="00A077E7" w:rsidRPr="00A6502F">
        <w:t xml:space="preserve"> </w:t>
      </w:r>
      <w:r w:rsidR="00A956F8" w:rsidRPr="00A6502F">
        <w:t>lidhje</w:t>
      </w:r>
      <w:r w:rsidR="00A077E7" w:rsidRPr="00A6502F">
        <w:t xml:space="preserve"> </w:t>
      </w:r>
      <w:r w:rsidR="00A956F8" w:rsidRPr="00A6502F">
        <w:t>me</w:t>
      </w:r>
      <w:r w:rsidR="00A077E7" w:rsidRPr="00A6502F">
        <w:t xml:space="preserve"> </w:t>
      </w:r>
      <w:r w:rsidR="00A956F8" w:rsidRPr="00A6502F">
        <w:t>periudhën</w:t>
      </w:r>
      <w:r w:rsidR="00A077E7" w:rsidRPr="00A6502F">
        <w:t xml:space="preserve"> </w:t>
      </w:r>
      <w:r w:rsidR="00A956F8" w:rsidRPr="00A6502F">
        <w:t>ndërmjet</w:t>
      </w:r>
      <w:r w:rsidR="00A077E7" w:rsidRPr="00A6502F">
        <w:t xml:space="preserve"> </w:t>
      </w:r>
      <w:r w:rsidR="00A956F8" w:rsidRPr="00A6502F">
        <w:t>vitit</w:t>
      </w:r>
      <w:r w:rsidR="00A077E7" w:rsidRPr="00A6502F">
        <w:t xml:space="preserve"> </w:t>
      </w:r>
      <w:r w:rsidR="00A956F8" w:rsidRPr="00A6502F">
        <w:t>2012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fillimit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vitit</w:t>
      </w:r>
      <w:r w:rsidR="00A077E7" w:rsidRPr="00A6502F">
        <w:t xml:space="preserve"> </w:t>
      </w:r>
      <w:r w:rsidR="00A956F8" w:rsidRPr="00A6502F">
        <w:t>2019);</w:t>
      </w:r>
    </w:p>
    <w:p w14:paraId="7716CC77" w14:textId="3C3C3537" w:rsidR="00A956F8" w:rsidRPr="00A6502F" w:rsidRDefault="003439F3" w:rsidP="003439F3">
      <w:pPr>
        <w:pStyle w:val="tekstiii"/>
      </w:pPr>
      <w:r w:rsidRPr="00A6502F">
        <w:rPr>
          <w:i/>
        </w:rPr>
        <w:t xml:space="preserve">2. </w:t>
      </w:r>
      <w:r w:rsidR="00A956F8" w:rsidRPr="00A6502F">
        <w:rPr>
          <w:i/>
        </w:rPr>
        <w:t>vendos</w:t>
      </w:r>
      <w:r w:rsidR="00A077E7" w:rsidRPr="00A6502F">
        <w:t xml:space="preserve">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është</w:t>
      </w:r>
      <w:r w:rsidR="00A077E7" w:rsidRPr="00A6502F">
        <w:t xml:space="preserve"> </w:t>
      </w:r>
      <w:r w:rsidR="00A956F8" w:rsidRPr="00A6502F">
        <w:t>shkelur</w:t>
      </w:r>
      <w:r w:rsidR="00A077E7" w:rsidRPr="00A6502F">
        <w:t xml:space="preserve"> </w:t>
      </w:r>
      <w:r w:rsidR="00A956F8" w:rsidRPr="00A6502F">
        <w:t>neni</w:t>
      </w:r>
      <w:r w:rsidR="00A077E7" w:rsidRPr="00A6502F">
        <w:t xml:space="preserve"> </w:t>
      </w:r>
      <w:r w:rsidR="00A956F8" w:rsidRPr="00A6502F">
        <w:t>6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Konventës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lidhje</w:t>
      </w:r>
      <w:r w:rsidR="00A077E7" w:rsidRPr="00A6502F">
        <w:t xml:space="preserve"> </w:t>
      </w:r>
      <w:r w:rsidR="00A956F8" w:rsidRPr="00A6502F">
        <w:t>me</w:t>
      </w:r>
      <w:r w:rsidR="00A077E7" w:rsidRPr="00A6502F">
        <w:t xml:space="preserve"> </w:t>
      </w:r>
      <w:r w:rsidR="00A956F8" w:rsidRPr="00A6502F">
        <w:t>çdo</w:t>
      </w:r>
      <w:r w:rsidR="00A077E7" w:rsidRPr="00A6502F">
        <w:t xml:space="preserve"> </w:t>
      </w:r>
      <w:r w:rsidR="00A956F8" w:rsidRPr="00A6502F">
        <w:t>kërkues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kohëzgjatje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tepruar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proceseve</w:t>
      </w:r>
      <w:r w:rsidR="00A077E7" w:rsidRPr="00A6502F">
        <w:t xml:space="preserve"> </w:t>
      </w:r>
      <w:r w:rsidR="00A956F8" w:rsidRPr="00A6502F">
        <w:t>dhe</w:t>
      </w:r>
      <w:r w:rsidR="00A077E7" w:rsidRPr="00A6502F">
        <w:t xml:space="preserve">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nuk</w:t>
      </w:r>
      <w:r w:rsidR="00A077E7" w:rsidRPr="00A6502F">
        <w:t xml:space="preserve"> </w:t>
      </w:r>
      <w:r w:rsidR="00A956F8" w:rsidRPr="00A6502F">
        <w:t>ka</w:t>
      </w:r>
      <w:r w:rsidR="00A077E7" w:rsidRPr="00A6502F">
        <w:t xml:space="preserve"> </w:t>
      </w:r>
      <w:r w:rsidR="00A956F8" w:rsidRPr="00A6502F">
        <w:t>nevojë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shqyrtohen</w:t>
      </w:r>
      <w:r w:rsidR="00A077E7" w:rsidRPr="00A6502F">
        <w:t xml:space="preserve"> </w:t>
      </w:r>
      <w:r w:rsidR="00A956F8" w:rsidRPr="00A6502F">
        <w:t>ankesat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mbetura;</w:t>
      </w:r>
    </w:p>
    <w:p w14:paraId="40AED988" w14:textId="7F675C06" w:rsidR="00A956F8" w:rsidRPr="00A6502F" w:rsidRDefault="003439F3" w:rsidP="003439F3">
      <w:pPr>
        <w:pStyle w:val="tekstiii"/>
      </w:pPr>
      <w:r w:rsidRPr="00A6502F">
        <w:rPr>
          <w:i/>
          <w:iCs/>
        </w:rPr>
        <w:t xml:space="preserve">3. </w:t>
      </w:r>
      <w:r w:rsidR="00A956F8" w:rsidRPr="00A6502F">
        <w:rPr>
          <w:i/>
          <w:iCs/>
        </w:rPr>
        <w:t>vendos</w:t>
      </w:r>
    </w:p>
    <w:p w14:paraId="0EDC0A41" w14:textId="30E091DE" w:rsidR="00A956F8" w:rsidRPr="00A6502F" w:rsidRDefault="003439F3" w:rsidP="003439F3">
      <w:pPr>
        <w:pStyle w:val="tekstiii"/>
      </w:pPr>
      <w:r w:rsidRPr="00A6502F">
        <w:t xml:space="preserve">a)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Shteti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paditur</w:t>
      </w:r>
      <w:r w:rsidR="00A077E7" w:rsidRPr="00A6502F">
        <w:t xml:space="preserve"> </w:t>
      </w:r>
      <w:r w:rsidR="00A956F8" w:rsidRPr="00A6502F">
        <w:t>t</w:t>
      </w:r>
      <w:r w:rsidR="00AE1069" w:rsidRPr="00A6502F">
        <w:t>’</w:t>
      </w:r>
      <w:r w:rsidR="00A956F8" w:rsidRPr="00A6502F">
        <w:t>i</w:t>
      </w:r>
      <w:r w:rsidR="00A077E7" w:rsidRPr="00A6502F">
        <w:t xml:space="preserve"> </w:t>
      </w:r>
      <w:r w:rsidR="00A956F8" w:rsidRPr="00A6502F">
        <w:t>paguajë</w:t>
      </w:r>
      <w:r w:rsidR="00A077E7" w:rsidRPr="00A6502F">
        <w:t xml:space="preserve"> </w:t>
      </w:r>
      <w:r w:rsidR="00A956F8" w:rsidRPr="00A6502F">
        <w:t>kërkuesve</w:t>
      </w:r>
      <w:r w:rsidR="00A077E7" w:rsidRPr="00A6502F">
        <w:t xml:space="preserve"> </w:t>
      </w:r>
      <w:r w:rsidR="00A956F8" w:rsidRPr="00A6502F">
        <w:t>së</w:t>
      </w:r>
      <w:r w:rsidR="00A077E7" w:rsidRPr="00A6502F">
        <w:t xml:space="preserve"> </w:t>
      </w:r>
      <w:r w:rsidR="00A956F8" w:rsidRPr="00A6502F">
        <w:t>bashku,</w:t>
      </w:r>
      <w:r w:rsidR="00A077E7" w:rsidRPr="00A6502F">
        <w:t xml:space="preserve"> </w:t>
      </w:r>
      <w:r w:rsidR="00A956F8" w:rsidRPr="00A6502F">
        <w:t>brenda</w:t>
      </w:r>
      <w:r w:rsidR="00A077E7" w:rsidRPr="00A6502F">
        <w:t xml:space="preserve"> </w:t>
      </w:r>
      <w:r w:rsidR="00A956F8" w:rsidRPr="00A6502F">
        <w:t>tre</w:t>
      </w:r>
      <w:r w:rsidR="00A077E7" w:rsidRPr="00A6502F">
        <w:t xml:space="preserve"> </w:t>
      </w:r>
      <w:r w:rsidR="00A956F8" w:rsidRPr="00A6502F">
        <w:t>muajve,</w:t>
      </w:r>
      <w:r w:rsidR="00A077E7" w:rsidRPr="00A6502F">
        <w:t xml:space="preserve"> </w:t>
      </w:r>
      <w:r w:rsidR="00A956F8" w:rsidRPr="00A6502F">
        <w:t>2,500</w:t>
      </w:r>
      <w:r w:rsidR="00A077E7" w:rsidRPr="00A6502F">
        <w:t xml:space="preserve"> </w:t>
      </w:r>
      <w:r w:rsidR="00A956F8" w:rsidRPr="00A6502F">
        <w:t>EUR</w:t>
      </w:r>
      <w:r w:rsidR="00A077E7" w:rsidRPr="00A6502F">
        <w:t xml:space="preserve"> </w:t>
      </w:r>
      <w:r w:rsidR="00A956F8" w:rsidRPr="00A6502F">
        <w:t>(dy</w:t>
      </w:r>
      <w:r w:rsidR="00A077E7" w:rsidRPr="00A6502F">
        <w:t xml:space="preserve"> </w:t>
      </w:r>
      <w:r w:rsidR="00A956F8" w:rsidRPr="00A6502F">
        <w:t>mijë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pesëqind</w:t>
      </w:r>
      <w:r w:rsidR="00A077E7" w:rsidRPr="00A6502F">
        <w:t xml:space="preserve"> </w:t>
      </w:r>
      <w:r w:rsidR="00A956F8" w:rsidRPr="00A6502F">
        <w:t>euro),</w:t>
      </w:r>
      <w:r w:rsidR="00A077E7" w:rsidRPr="00A6502F">
        <w:t xml:space="preserve">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do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konvertohen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rPr>
          <w:color w:val="000000"/>
        </w:rPr>
        <w:t>monedhën</w:t>
      </w:r>
      <w:r w:rsidR="00A077E7" w:rsidRPr="00A6502F">
        <w:rPr>
          <w:color w:val="000000"/>
        </w:rPr>
        <w:t xml:space="preserve"> </w:t>
      </w:r>
      <w:r w:rsidR="00A956F8" w:rsidRPr="00A6502F">
        <w:rPr>
          <w:color w:val="000000"/>
        </w:rPr>
        <w:t>e</w:t>
      </w:r>
      <w:r w:rsidR="00A077E7" w:rsidRPr="00A6502F">
        <w:rPr>
          <w:color w:val="000000"/>
        </w:rPr>
        <w:t xml:space="preserve"> </w:t>
      </w:r>
      <w:r w:rsidR="00A956F8" w:rsidRPr="00A6502F">
        <w:rPr>
          <w:color w:val="000000"/>
        </w:rPr>
        <w:t>Shtetit</w:t>
      </w:r>
      <w:r w:rsidR="00A077E7" w:rsidRPr="00A6502F">
        <w:rPr>
          <w:color w:val="000000"/>
        </w:rPr>
        <w:t xml:space="preserve"> </w:t>
      </w:r>
      <w:r w:rsidR="00A956F8" w:rsidRPr="00A6502F">
        <w:rPr>
          <w:color w:val="000000"/>
        </w:rPr>
        <w:t>të</w:t>
      </w:r>
      <w:r w:rsidR="00A077E7" w:rsidRPr="00A6502F">
        <w:rPr>
          <w:color w:val="000000"/>
        </w:rPr>
        <w:t xml:space="preserve"> </w:t>
      </w:r>
      <w:r w:rsidR="00A956F8" w:rsidRPr="00A6502F">
        <w:rPr>
          <w:color w:val="000000"/>
        </w:rPr>
        <w:t>paditur</w:t>
      </w:r>
      <w:r w:rsidR="00A077E7" w:rsidRPr="00A6502F">
        <w:t xml:space="preserve"> </w:t>
      </w:r>
      <w:r w:rsidR="00A956F8" w:rsidRPr="00A6502F">
        <w:t>me</w:t>
      </w:r>
      <w:r w:rsidR="00A077E7" w:rsidRPr="00A6502F">
        <w:t xml:space="preserve"> </w:t>
      </w:r>
      <w:r w:rsidR="00A956F8" w:rsidRPr="00A6502F">
        <w:t>kursin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fuqi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datën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shlyerjes;</w:t>
      </w:r>
    </w:p>
    <w:p w14:paraId="2A821CE8" w14:textId="53207D94" w:rsidR="00A956F8" w:rsidRPr="00A6502F" w:rsidRDefault="003439F3" w:rsidP="003439F3">
      <w:pPr>
        <w:pStyle w:val="tekstiii"/>
      </w:pPr>
      <w:r w:rsidRPr="00A6502F">
        <w:t xml:space="preserve">b) </w:t>
      </w:r>
      <w:r w:rsidR="00A956F8" w:rsidRPr="00A6502F">
        <w:t>që</w:t>
      </w:r>
      <w:r w:rsidR="00A077E7" w:rsidRPr="00A6502F">
        <w:t xml:space="preserve"> </w:t>
      </w:r>
      <w:r w:rsidR="00A956F8" w:rsidRPr="00A6502F">
        <w:t>nga</w:t>
      </w:r>
      <w:r w:rsidR="00A077E7" w:rsidRPr="00A6502F">
        <w:t xml:space="preserve"> </w:t>
      </w:r>
      <w:r w:rsidR="00A956F8" w:rsidRPr="00A6502F">
        <w:t>mbarimi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afatit</w:t>
      </w:r>
      <w:r w:rsidR="00A077E7" w:rsidRPr="00A6502F">
        <w:t xml:space="preserve"> </w:t>
      </w:r>
      <w:r w:rsidR="00A956F8" w:rsidRPr="00A6502F">
        <w:t>tremujor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sipërpërmendur</w:t>
      </w:r>
      <w:r w:rsidR="00A077E7" w:rsidRPr="00A6502F">
        <w:t xml:space="preserve"> </w:t>
      </w:r>
      <w:r w:rsidR="00A956F8" w:rsidRPr="00A6502F">
        <w:t>deri</w:t>
      </w:r>
      <w:r w:rsidR="00A077E7" w:rsidRPr="00A6502F">
        <w:t xml:space="preserve"> </w:t>
      </w:r>
      <w:r w:rsidR="00A956F8" w:rsidRPr="00A6502F">
        <w:t>në</w:t>
      </w:r>
      <w:r w:rsidR="00A077E7" w:rsidRPr="00A6502F">
        <w:t xml:space="preserve"> </w:t>
      </w:r>
      <w:r w:rsidR="00A956F8" w:rsidRPr="00A6502F">
        <w:t>shlyerje,</w:t>
      </w:r>
      <w:r w:rsidR="00A077E7" w:rsidRPr="00A6502F">
        <w:t xml:space="preserve"> </w:t>
      </w:r>
      <w:r w:rsidR="00A956F8" w:rsidRPr="00A6502F">
        <w:t>interes</w:t>
      </w:r>
      <w:r w:rsidR="00A077E7" w:rsidRPr="00A6502F">
        <w:t xml:space="preserve"> </w:t>
      </w:r>
      <w:r w:rsidR="00A956F8" w:rsidRPr="00A6502F">
        <w:t>i</w:t>
      </w:r>
      <w:r w:rsidR="00A077E7" w:rsidRPr="00A6502F">
        <w:t xml:space="preserve"> </w:t>
      </w:r>
      <w:r w:rsidR="00A956F8" w:rsidRPr="00A6502F">
        <w:t>thjeshtë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paguhet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shumën</w:t>
      </w:r>
      <w:r w:rsidR="00A077E7" w:rsidRPr="00A6502F">
        <w:t xml:space="preserve"> </w:t>
      </w:r>
      <w:r w:rsidR="00A956F8" w:rsidRPr="00A6502F">
        <w:t>e</w:t>
      </w:r>
      <w:r w:rsidR="00A077E7" w:rsidRPr="00A6502F">
        <w:t xml:space="preserve"> </w:t>
      </w:r>
      <w:r w:rsidR="00A956F8" w:rsidRPr="00A6502F">
        <w:t>mësipërme</w:t>
      </w:r>
      <w:r w:rsidR="00A077E7" w:rsidRPr="00A6502F">
        <w:t xml:space="preserve"> </w:t>
      </w:r>
      <w:r w:rsidR="00A956F8" w:rsidRPr="00A6502F">
        <w:t>sipas</w:t>
      </w:r>
      <w:r w:rsidR="00A077E7" w:rsidRPr="00A6502F">
        <w:t xml:space="preserve"> </w:t>
      </w:r>
      <w:r w:rsidR="00A956F8" w:rsidRPr="00A6502F">
        <w:t>normës</w:t>
      </w:r>
      <w:r w:rsidR="00A077E7" w:rsidRPr="00A6502F">
        <w:t xml:space="preserve"> </w:t>
      </w:r>
      <w:r w:rsidR="00822274">
        <w:t>s</w:t>
      </w:r>
      <w:r w:rsidR="00A956F8" w:rsidRPr="00A6502F">
        <w:t>ë</w:t>
      </w:r>
      <w:r w:rsidR="00A077E7" w:rsidRPr="00A6502F">
        <w:t xml:space="preserve"> </w:t>
      </w:r>
      <w:r w:rsidR="00A956F8" w:rsidRPr="00A6502F">
        <w:t>njëjtë</w:t>
      </w:r>
      <w:r w:rsidR="00A077E7" w:rsidRPr="00A6502F">
        <w:t xml:space="preserve"> </w:t>
      </w:r>
      <w:r w:rsidR="00A956F8" w:rsidRPr="00A6502F">
        <w:t>me</w:t>
      </w:r>
      <w:r w:rsidR="00A077E7" w:rsidRPr="00A6502F">
        <w:t xml:space="preserve"> </w:t>
      </w:r>
      <w:r w:rsidR="00A956F8" w:rsidRPr="00A6502F">
        <w:t>normën</w:t>
      </w:r>
      <w:r w:rsidR="00A077E7" w:rsidRPr="00A6502F">
        <w:t xml:space="preserve"> </w:t>
      </w:r>
      <w:r w:rsidR="00A956F8" w:rsidRPr="00A6502F">
        <w:t>marxhinale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kreditimit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Bankës</w:t>
      </w:r>
      <w:r w:rsidR="00A077E7" w:rsidRPr="00A6502F">
        <w:t xml:space="preserve"> </w:t>
      </w:r>
      <w:r w:rsidR="00A956F8" w:rsidRPr="00A6502F">
        <w:t>Qendrore</w:t>
      </w:r>
      <w:r w:rsidR="00A077E7" w:rsidRPr="00A6502F">
        <w:t xml:space="preserve"> </w:t>
      </w:r>
      <w:r w:rsidR="00A956F8" w:rsidRPr="00A6502F">
        <w:t>E</w:t>
      </w:r>
      <w:r w:rsidR="00E84D08" w:rsidRPr="00A6502F">
        <w:t>v</w:t>
      </w:r>
      <w:r w:rsidR="00A956F8" w:rsidRPr="00A6502F">
        <w:t>ropiane</w:t>
      </w:r>
      <w:r w:rsidR="00A077E7" w:rsidRPr="00A6502F">
        <w:t xml:space="preserve"> </w:t>
      </w:r>
      <w:r w:rsidR="00A956F8" w:rsidRPr="00A6502F">
        <w:t>gjatë</w:t>
      </w:r>
      <w:r w:rsidR="00A077E7" w:rsidRPr="00A6502F">
        <w:t xml:space="preserve"> </w:t>
      </w:r>
      <w:r w:rsidR="00A956F8" w:rsidRPr="00A6502F">
        <w:t>periudhës</w:t>
      </w:r>
      <w:r w:rsidR="00A077E7" w:rsidRPr="00A6502F">
        <w:t xml:space="preserve"> </w:t>
      </w:r>
      <w:r w:rsidR="00A956F8" w:rsidRPr="00A6502F">
        <w:t>së</w:t>
      </w:r>
      <w:r w:rsidR="00A077E7" w:rsidRPr="00A6502F">
        <w:t xml:space="preserve"> </w:t>
      </w:r>
      <w:r w:rsidR="00A956F8" w:rsidRPr="00A6502F">
        <w:t>mospagimit</w:t>
      </w:r>
      <w:r w:rsidR="00A077E7" w:rsidRPr="00A6502F">
        <w:t xml:space="preserve"> </w:t>
      </w:r>
      <w:r w:rsidR="00A956F8" w:rsidRPr="00A6502F">
        <w:t>plus</w:t>
      </w:r>
      <w:r w:rsidR="00A077E7" w:rsidRPr="00A6502F">
        <w:t xml:space="preserve"> </w:t>
      </w:r>
      <w:r w:rsidR="00A956F8" w:rsidRPr="00A6502F">
        <w:t>tre</w:t>
      </w:r>
      <w:r w:rsidR="00A077E7" w:rsidRPr="00A6502F">
        <w:t xml:space="preserve"> </w:t>
      </w:r>
      <w:r w:rsidR="00A956F8" w:rsidRPr="00A6502F">
        <w:t>pikë</w:t>
      </w:r>
      <w:r w:rsidR="00A077E7" w:rsidRPr="00A6502F">
        <w:t xml:space="preserve"> </w:t>
      </w:r>
      <w:r w:rsidR="00A956F8" w:rsidRPr="00A6502F">
        <w:t>përqindje;</w:t>
      </w:r>
    </w:p>
    <w:p w14:paraId="5C9BBA16" w14:textId="683C2650" w:rsidR="00A956F8" w:rsidRPr="00A6502F" w:rsidRDefault="003439F3" w:rsidP="003439F3">
      <w:pPr>
        <w:pStyle w:val="tekstiii"/>
      </w:pPr>
      <w:r w:rsidRPr="00A6502F">
        <w:rPr>
          <w:i/>
        </w:rPr>
        <w:t xml:space="preserve">4. </w:t>
      </w:r>
      <w:r w:rsidR="00A956F8" w:rsidRPr="00A6502F">
        <w:rPr>
          <w:i/>
        </w:rPr>
        <w:t>rrëzon</w:t>
      </w:r>
      <w:r w:rsidR="00A077E7" w:rsidRPr="00A6502F">
        <w:t xml:space="preserve"> </w:t>
      </w:r>
      <w:r w:rsidR="00A956F8" w:rsidRPr="00A6502F">
        <w:t>pjesën</w:t>
      </w:r>
      <w:r w:rsidR="00A077E7" w:rsidRPr="00A6502F">
        <w:t xml:space="preserve"> </w:t>
      </w:r>
      <w:r w:rsidR="00A956F8" w:rsidRPr="00A6502F">
        <w:t>tjetër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kërkesës</w:t>
      </w:r>
      <w:r w:rsidR="00A077E7" w:rsidRPr="00A6502F">
        <w:t xml:space="preserve"> </w:t>
      </w:r>
      <w:r w:rsidR="00A956F8" w:rsidRPr="00A6502F">
        <w:t>së</w:t>
      </w:r>
      <w:r w:rsidR="00A077E7" w:rsidRPr="00A6502F">
        <w:t xml:space="preserve"> </w:t>
      </w:r>
      <w:r w:rsidR="00A956F8" w:rsidRPr="00A6502F">
        <w:t>kërkuesve</w:t>
      </w:r>
      <w:r w:rsidR="00A077E7" w:rsidRPr="00A6502F">
        <w:t xml:space="preserve"> </w:t>
      </w:r>
      <w:r w:rsidR="00A956F8" w:rsidRPr="00A6502F">
        <w:t>për</w:t>
      </w:r>
      <w:r w:rsidR="00A077E7" w:rsidRPr="00A6502F">
        <w:t xml:space="preserve"> </w:t>
      </w:r>
      <w:r w:rsidR="00A956F8" w:rsidRPr="00A6502F">
        <w:t>kompensim</w:t>
      </w:r>
      <w:r w:rsidR="00A077E7" w:rsidRPr="00A6502F">
        <w:t xml:space="preserve"> </w:t>
      </w:r>
      <w:r w:rsidR="00A956F8" w:rsidRPr="00A6502F">
        <w:t>të</w:t>
      </w:r>
      <w:r w:rsidR="00A077E7" w:rsidRPr="00A6502F">
        <w:t xml:space="preserve"> </w:t>
      </w:r>
      <w:r w:rsidR="00A956F8" w:rsidRPr="00A6502F">
        <w:t>drejtë.</w:t>
      </w:r>
    </w:p>
    <w:p w14:paraId="5D3EB49C" w14:textId="60D7D229" w:rsidR="00A956F8" w:rsidRPr="00A6502F" w:rsidRDefault="00A956F8" w:rsidP="003439F3">
      <w:pPr>
        <w:pStyle w:val="tekstiii"/>
      </w:pPr>
      <w:r w:rsidRPr="00A6502F">
        <w:t>Bërë</w:t>
      </w:r>
      <w:r w:rsidR="00A077E7" w:rsidRPr="00A6502F">
        <w:t xml:space="preserve"> </w:t>
      </w:r>
      <w:r w:rsidRPr="00A6502F">
        <w:t>në</w:t>
      </w:r>
      <w:r w:rsidR="00A077E7" w:rsidRPr="00A6502F">
        <w:t xml:space="preserve"> </w:t>
      </w:r>
      <w:r w:rsidRPr="00A6502F">
        <w:t>gjuhën</w:t>
      </w:r>
      <w:r w:rsidR="00A077E7" w:rsidRPr="00A6502F">
        <w:t xml:space="preserve"> </w:t>
      </w:r>
      <w:r w:rsidRPr="00A6502F">
        <w:t>angleze</w:t>
      </w:r>
      <w:r w:rsidR="00A077E7" w:rsidRPr="00A6502F">
        <w:t xml:space="preserve"> </w:t>
      </w:r>
      <w:r w:rsidRPr="00A6502F">
        <w:t>dhe</w:t>
      </w:r>
      <w:r w:rsidR="00A077E7" w:rsidRPr="00A6502F">
        <w:t xml:space="preserve"> </w:t>
      </w:r>
      <w:r w:rsidRPr="00A6502F">
        <w:t>njoftuar</w:t>
      </w:r>
      <w:r w:rsidR="00A077E7" w:rsidRPr="00A6502F">
        <w:t xml:space="preserve"> </w:t>
      </w:r>
      <w:r w:rsidRPr="00A6502F">
        <w:t>me</w:t>
      </w:r>
      <w:r w:rsidR="00A077E7" w:rsidRPr="00A6502F">
        <w:t xml:space="preserve"> </w:t>
      </w:r>
      <w:r w:rsidRPr="00A6502F">
        <w:t>shkrim</w:t>
      </w:r>
      <w:r w:rsidR="00A077E7" w:rsidRPr="00A6502F">
        <w:t xml:space="preserve"> </w:t>
      </w:r>
      <w:r w:rsidRPr="00A6502F">
        <w:t>më</w:t>
      </w:r>
      <w:r w:rsidR="00A077E7" w:rsidRPr="00A6502F">
        <w:t xml:space="preserve"> </w:t>
      </w:r>
      <w:r w:rsidRPr="00A6502F">
        <w:t>30</w:t>
      </w:r>
      <w:r w:rsidR="00A077E7" w:rsidRPr="00A6502F">
        <w:t xml:space="preserve"> </w:t>
      </w:r>
      <w:r w:rsidRPr="00A6502F">
        <w:t>janar</w:t>
      </w:r>
      <w:r w:rsidR="00A077E7" w:rsidRPr="00A6502F">
        <w:t xml:space="preserve"> </w:t>
      </w:r>
      <w:r w:rsidRPr="00A6502F">
        <w:t>2024</w:t>
      </w:r>
      <w:r w:rsidR="00A077E7" w:rsidRPr="00A6502F">
        <w:t xml:space="preserve"> </w:t>
      </w:r>
      <w:r w:rsidRPr="00A6502F">
        <w:t>sipas</w:t>
      </w:r>
      <w:r w:rsidR="00A077E7" w:rsidRPr="00A6502F">
        <w:t xml:space="preserve"> </w:t>
      </w:r>
      <w:r w:rsidR="0025761B" w:rsidRPr="00A6502F">
        <w:t xml:space="preserve">rregullit </w:t>
      </w:r>
      <w:r w:rsidRPr="00A6502F">
        <w:t>77</w:t>
      </w:r>
      <w:r w:rsidR="00A077E7" w:rsidRPr="00A6502F">
        <w:t xml:space="preserve"> </w:t>
      </w:r>
      <w:r w:rsidRPr="00A6502F">
        <w:t>§§</w:t>
      </w:r>
      <w:r w:rsidR="00A077E7" w:rsidRPr="00A6502F">
        <w:t xml:space="preserve"> </w:t>
      </w:r>
      <w:r w:rsidRPr="00A6502F">
        <w:t>2</w:t>
      </w:r>
      <w:r w:rsidR="00A077E7" w:rsidRPr="00A6502F">
        <w:t xml:space="preserve"> </w:t>
      </w:r>
      <w:r w:rsidRPr="00A6502F">
        <w:t>dhe</w:t>
      </w:r>
      <w:r w:rsidR="00A077E7" w:rsidRPr="00A6502F">
        <w:t xml:space="preserve"> </w:t>
      </w:r>
      <w:r w:rsidRPr="00A6502F">
        <w:t>3</w:t>
      </w:r>
      <w:r w:rsidR="00A077E7" w:rsidRPr="00A6502F">
        <w:t xml:space="preserve"> </w:t>
      </w:r>
      <w:r w:rsidRPr="00A6502F">
        <w:t>të</w:t>
      </w:r>
      <w:r w:rsidR="00A077E7" w:rsidRPr="00A6502F">
        <w:t xml:space="preserve"> </w:t>
      </w:r>
      <w:r w:rsidRPr="00A6502F">
        <w:t>Rregullores</w:t>
      </w:r>
      <w:r w:rsidR="00A077E7" w:rsidRPr="00A6502F">
        <w:t xml:space="preserve"> </w:t>
      </w:r>
      <w:r w:rsidRPr="00A6502F">
        <w:t>së</w:t>
      </w:r>
      <w:r w:rsidR="00A077E7" w:rsidRPr="00A6502F">
        <w:t xml:space="preserve"> </w:t>
      </w:r>
      <w:r w:rsidRPr="00A6502F">
        <w:t>Gjykatës.</w:t>
      </w:r>
    </w:p>
    <w:p w14:paraId="75D51343" w14:textId="77777777" w:rsidR="003439F3" w:rsidRPr="00A6502F" w:rsidRDefault="003439F3" w:rsidP="00B456DC">
      <w:pPr>
        <w:pStyle w:val="JuSigned"/>
        <w:spacing w:before="0"/>
        <w:ind w:firstLine="284"/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</w:tblGrid>
      <w:tr w:rsidR="003439F3" w:rsidRPr="00A6502F" w14:paraId="4C7DBBBB" w14:textId="77777777" w:rsidTr="003439F3">
        <w:tc>
          <w:tcPr>
            <w:tcW w:w="2263" w:type="dxa"/>
          </w:tcPr>
          <w:p w14:paraId="11C3F1BB" w14:textId="77777777" w:rsidR="003439F3" w:rsidRPr="00A6502F" w:rsidRDefault="003439F3" w:rsidP="003439F3">
            <w:pPr>
              <w:pStyle w:val="JuSigned"/>
              <w:spacing w:before="0"/>
              <w:jc w:val="center"/>
              <w:rPr>
                <w:rFonts w:ascii="Garamond" w:hAnsi="Garamond"/>
                <w:b/>
              </w:rPr>
            </w:pPr>
            <w:r w:rsidRPr="00A6502F">
              <w:rPr>
                <w:rFonts w:ascii="Garamond" w:hAnsi="Garamond"/>
                <w:b/>
              </w:rPr>
              <w:t>Olga Chernishova</w:t>
            </w:r>
          </w:p>
          <w:p w14:paraId="63583644" w14:textId="5E94280E" w:rsidR="003439F3" w:rsidRPr="00A6502F" w:rsidRDefault="0025761B" w:rsidP="003439F3">
            <w:pPr>
              <w:pStyle w:val="JuSigned"/>
              <w:spacing w:before="0"/>
              <w:jc w:val="center"/>
              <w:rPr>
                <w:rFonts w:ascii="Garamond" w:hAnsi="Garamond"/>
              </w:rPr>
            </w:pPr>
            <w:r w:rsidRPr="00A6502F">
              <w:rPr>
                <w:rFonts w:ascii="Garamond" w:hAnsi="Garamond"/>
              </w:rPr>
              <w:t>Zëvendëskancelare</w:t>
            </w:r>
          </w:p>
        </w:tc>
        <w:tc>
          <w:tcPr>
            <w:tcW w:w="2552" w:type="dxa"/>
          </w:tcPr>
          <w:p w14:paraId="3AFB3CAA" w14:textId="07D38D94" w:rsidR="003439F3" w:rsidRPr="00A6502F" w:rsidRDefault="003439F3" w:rsidP="003439F3">
            <w:pPr>
              <w:pStyle w:val="JuSigned"/>
              <w:spacing w:before="0"/>
              <w:jc w:val="center"/>
              <w:rPr>
                <w:rFonts w:ascii="Garamond" w:hAnsi="Garamond"/>
                <w:b/>
              </w:rPr>
            </w:pPr>
            <w:r w:rsidRPr="00A6502F">
              <w:rPr>
                <w:rFonts w:ascii="Garamond" w:hAnsi="Garamond"/>
                <w:b/>
              </w:rPr>
              <w:t>Georgios A. Serghides</w:t>
            </w:r>
          </w:p>
          <w:p w14:paraId="5838B859" w14:textId="460B4FA5" w:rsidR="003439F3" w:rsidRPr="00A6502F" w:rsidRDefault="003439F3" w:rsidP="003439F3">
            <w:pPr>
              <w:pStyle w:val="JuSigned"/>
              <w:spacing w:before="0"/>
              <w:jc w:val="center"/>
              <w:rPr>
                <w:rFonts w:ascii="Garamond" w:hAnsi="Garamond"/>
              </w:rPr>
            </w:pPr>
            <w:r w:rsidRPr="00A6502F">
              <w:rPr>
                <w:rFonts w:ascii="Garamond" w:hAnsi="Garamond"/>
              </w:rPr>
              <w:t>President</w:t>
            </w:r>
          </w:p>
          <w:p w14:paraId="4A26C5C4" w14:textId="1489690E" w:rsidR="003439F3" w:rsidRPr="00A6502F" w:rsidRDefault="003439F3" w:rsidP="003439F3">
            <w:pPr>
              <w:pStyle w:val="JuSigned"/>
              <w:spacing w:before="0"/>
              <w:jc w:val="center"/>
              <w:rPr>
                <w:rFonts w:ascii="Garamond" w:hAnsi="Garamond"/>
              </w:rPr>
            </w:pPr>
          </w:p>
        </w:tc>
      </w:tr>
    </w:tbl>
    <w:p w14:paraId="5AC89BDA" w14:textId="77777777" w:rsidR="003439F3" w:rsidRPr="00A6502F" w:rsidRDefault="003439F3" w:rsidP="00B456DC">
      <w:pPr>
        <w:pStyle w:val="JuSigned"/>
        <w:spacing w:before="0"/>
        <w:ind w:firstLine="284"/>
        <w:rPr>
          <w:rFonts w:ascii="Garamond" w:hAnsi="Garamond"/>
        </w:rPr>
      </w:pPr>
    </w:p>
    <w:p w14:paraId="5876D8D4" w14:textId="632B708B" w:rsidR="003439F3" w:rsidRPr="00A6502F" w:rsidRDefault="003439F3" w:rsidP="00B456DC">
      <w:pPr>
        <w:pStyle w:val="JuSigned"/>
        <w:spacing w:before="0"/>
        <w:ind w:firstLine="284"/>
        <w:rPr>
          <w:rFonts w:ascii="Garamond" w:hAnsi="Garamond"/>
        </w:rPr>
      </w:pPr>
      <w:r w:rsidRPr="00A6502F">
        <w:rPr>
          <w:rFonts w:ascii="Garamond" w:hAnsi="Garamond"/>
        </w:rPr>
        <w:t xml:space="preserve">  </w:t>
      </w:r>
    </w:p>
    <w:p w14:paraId="58841227" w14:textId="320AA17D" w:rsidR="00DA5B68" w:rsidRPr="00A6502F" w:rsidRDefault="00DA5B68" w:rsidP="00B456DC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p w14:paraId="29B9F20E" w14:textId="0B74FD21" w:rsidR="000F74B6" w:rsidRPr="00A6502F" w:rsidRDefault="000F74B6" w:rsidP="00B456DC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sectPr w:rsidR="000F74B6" w:rsidRPr="00A6502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F82DB" w14:textId="77777777" w:rsidR="00A95B89" w:rsidRDefault="00A95B89" w:rsidP="00A956F8">
      <w:pPr>
        <w:spacing w:after="0" w:line="240" w:lineRule="auto"/>
      </w:pPr>
      <w:r>
        <w:separator/>
      </w:r>
    </w:p>
  </w:endnote>
  <w:endnote w:type="continuationSeparator" w:id="0">
    <w:p w14:paraId="7FBAF18B" w14:textId="77777777" w:rsidR="00A95B89" w:rsidRDefault="00A95B89" w:rsidP="00A956F8">
      <w:pPr>
        <w:spacing w:after="0" w:line="240" w:lineRule="auto"/>
      </w:pPr>
      <w:r>
        <w:continuationSeparator/>
      </w:r>
    </w:p>
  </w:endnote>
  <w:endnote w:type="continuationNotice" w:id="1">
    <w:p w14:paraId="17984D78" w14:textId="77777777" w:rsidR="00A95B89" w:rsidRDefault="00A95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55439" w14:textId="4487C953" w:rsidR="00A95B89" w:rsidRPr="00150BFA" w:rsidRDefault="00A95B89" w:rsidP="0084439C">
    <w:pPr>
      <w:jc w:val="center"/>
    </w:pPr>
  </w:p>
  <w:p w14:paraId="4D7CC567" w14:textId="77777777" w:rsidR="00A95B89" w:rsidRPr="0095548B" w:rsidRDefault="00A95B89" w:rsidP="0084439C">
    <w:pPr>
      <w:pStyle w:val="Footer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7B7E" w14:textId="77777777" w:rsidR="00A95B89" w:rsidRPr="00150BFA" w:rsidRDefault="00A95B89" w:rsidP="0084439C">
    <w:pPr>
      <w:jc w:val="center"/>
    </w:pPr>
  </w:p>
  <w:p w14:paraId="1DAF758E" w14:textId="77777777" w:rsidR="00A95B89" w:rsidRPr="0095548B" w:rsidRDefault="00A95B89" w:rsidP="0084439C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50E1A" w14:textId="77777777" w:rsidR="00A95B89" w:rsidRDefault="00A95B89" w:rsidP="00A956F8">
      <w:pPr>
        <w:spacing w:after="0" w:line="240" w:lineRule="auto"/>
      </w:pPr>
      <w:r>
        <w:separator/>
      </w:r>
    </w:p>
  </w:footnote>
  <w:footnote w:type="continuationSeparator" w:id="0">
    <w:p w14:paraId="12148BDC" w14:textId="77777777" w:rsidR="00A95B89" w:rsidRDefault="00A95B89" w:rsidP="00A956F8">
      <w:pPr>
        <w:spacing w:after="0" w:line="240" w:lineRule="auto"/>
      </w:pPr>
      <w:r>
        <w:continuationSeparator/>
      </w:r>
    </w:p>
  </w:footnote>
  <w:footnote w:type="continuationNotice" w:id="1">
    <w:p w14:paraId="54E67071" w14:textId="77777777" w:rsidR="00A95B89" w:rsidRDefault="00A95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5AD1" w14:textId="70F00F4C" w:rsidR="00A95B89" w:rsidRPr="00A45145" w:rsidRDefault="00A95B89" w:rsidP="0084439C">
    <w:pPr>
      <w:jc w:val="center"/>
    </w:pPr>
  </w:p>
  <w:p w14:paraId="1AC2C20B" w14:textId="77777777" w:rsidR="00A95B89" w:rsidRPr="0095548B" w:rsidRDefault="00A95B89" w:rsidP="0084439C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8014" w14:textId="77777777" w:rsidR="00A95B89" w:rsidRPr="00A45145" w:rsidRDefault="00A95B89" w:rsidP="0084439C">
    <w:pPr>
      <w:jc w:val="center"/>
    </w:pPr>
  </w:p>
  <w:p w14:paraId="1FE0373D" w14:textId="77777777" w:rsidR="00A95B89" w:rsidRPr="0095548B" w:rsidRDefault="00A95B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261"/>
    <w:multiLevelType w:val="multilevel"/>
    <w:tmpl w:val="C8FE6436"/>
    <w:numStyleLink w:val="ECHRA1StyleList"/>
  </w:abstractNum>
  <w:abstractNum w:abstractNumId="1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35"/>
    <w:rsid w:val="00071246"/>
    <w:rsid w:val="00072CA2"/>
    <w:rsid w:val="000F74B6"/>
    <w:rsid w:val="001B4AEE"/>
    <w:rsid w:val="001C337F"/>
    <w:rsid w:val="0025761B"/>
    <w:rsid w:val="002A046C"/>
    <w:rsid w:val="0031015F"/>
    <w:rsid w:val="00311716"/>
    <w:rsid w:val="003439F3"/>
    <w:rsid w:val="00375CBB"/>
    <w:rsid w:val="003C082F"/>
    <w:rsid w:val="003D332D"/>
    <w:rsid w:val="00401C1E"/>
    <w:rsid w:val="00420FCC"/>
    <w:rsid w:val="00495544"/>
    <w:rsid w:val="004B2482"/>
    <w:rsid w:val="004B7AEE"/>
    <w:rsid w:val="00510626"/>
    <w:rsid w:val="005B5F43"/>
    <w:rsid w:val="005E7932"/>
    <w:rsid w:val="00650D76"/>
    <w:rsid w:val="00662063"/>
    <w:rsid w:val="006C2DED"/>
    <w:rsid w:val="006C6328"/>
    <w:rsid w:val="00700526"/>
    <w:rsid w:val="007322F9"/>
    <w:rsid w:val="00756DA9"/>
    <w:rsid w:val="00765E11"/>
    <w:rsid w:val="007A461B"/>
    <w:rsid w:val="007E3E66"/>
    <w:rsid w:val="008005B5"/>
    <w:rsid w:val="00822274"/>
    <w:rsid w:val="0084439C"/>
    <w:rsid w:val="008C7EE7"/>
    <w:rsid w:val="008E2355"/>
    <w:rsid w:val="00A04CE9"/>
    <w:rsid w:val="00A077E7"/>
    <w:rsid w:val="00A6502F"/>
    <w:rsid w:val="00A65D21"/>
    <w:rsid w:val="00A70E95"/>
    <w:rsid w:val="00A956F8"/>
    <w:rsid w:val="00A95B89"/>
    <w:rsid w:val="00AD6F91"/>
    <w:rsid w:val="00AE1069"/>
    <w:rsid w:val="00AE55D8"/>
    <w:rsid w:val="00B456DC"/>
    <w:rsid w:val="00B5127F"/>
    <w:rsid w:val="00B8019B"/>
    <w:rsid w:val="00BB5A94"/>
    <w:rsid w:val="00BE2B4F"/>
    <w:rsid w:val="00C22222"/>
    <w:rsid w:val="00C420EA"/>
    <w:rsid w:val="00D162F0"/>
    <w:rsid w:val="00D74965"/>
    <w:rsid w:val="00D83329"/>
    <w:rsid w:val="00DA5B68"/>
    <w:rsid w:val="00E00253"/>
    <w:rsid w:val="00E0144B"/>
    <w:rsid w:val="00E071FF"/>
    <w:rsid w:val="00E12A63"/>
    <w:rsid w:val="00E2355A"/>
    <w:rsid w:val="00E35D35"/>
    <w:rsid w:val="00E84D08"/>
    <w:rsid w:val="00EA35A1"/>
    <w:rsid w:val="00EB2491"/>
    <w:rsid w:val="00F23FBB"/>
    <w:rsid w:val="00F51B3E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1227"/>
  <w15:chartTrackingRefBased/>
  <w15:docId w15:val="{B8595E92-08BE-4A01-A50E-A0F4375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List">
    <w:name w:val="Ju_List"/>
    <w:aliases w:val="_List_1"/>
    <w:basedOn w:val="Normal"/>
    <w:uiPriority w:val="23"/>
    <w:qFormat/>
    <w:rsid w:val="00A956F8"/>
    <w:pPr>
      <w:numPr>
        <w:numId w:val="3"/>
      </w:numPr>
      <w:spacing w:before="280" w:after="60" w:line="240" w:lineRule="auto"/>
      <w:jc w:val="both"/>
    </w:pPr>
    <w:rPr>
      <w:sz w:val="24"/>
      <w:szCs w:val="24"/>
      <w:lang w:val="sq-AL"/>
    </w:rPr>
  </w:style>
  <w:style w:type="paragraph" w:customStyle="1" w:styleId="JuLista">
    <w:name w:val="Ju_List_a"/>
    <w:aliases w:val="_List_2"/>
    <w:basedOn w:val="Normal"/>
    <w:uiPriority w:val="23"/>
    <w:rsid w:val="00A956F8"/>
    <w:pPr>
      <w:numPr>
        <w:ilvl w:val="1"/>
        <w:numId w:val="3"/>
      </w:numPr>
      <w:spacing w:after="0" w:line="240" w:lineRule="auto"/>
      <w:jc w:val="both"/>
    </w:pPr>
    <w:rPr>
      <w:sz w:val="24"/>
      <w:szCs w:val="24"/>
      <w:lang w:val="sq-AL"/>
    </w:rPr>
  </w:style>
  <w:style w:type="paragraph" w:customStyle="1" w:styleId="JuListi">
    <w:name w:val="Ju_List_i"/>
    <w:aliases w:val="_List_3"/>
    <w:basedOn w:val="Normal"/>
    <w:uiPriority w:val="23"/>
    <w:rsid w:val="00A956F8"/>
    <w:pPr>
      <w:numPr>
        <w:ilvl w:val="2"/>
        <w:numId w:val="3"/>
      </w:numPr>
      <w:spacing w:after="0" w:line="240" w:lineRule="auto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A956F8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A956F8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A956F8"/>
    <w:pPr>
      <w:numPr>
        <w:numId w:val="2"/>
      </w:numPr>
      <w:tabs>
        <w:tab w:val="num" w:pos="360"/>
      </w:tabs>
      <w:spacing w:before="100" w:beforeAutospacing="1" w:after="240" w:line="240" w:lineRule="auto"/>
      <w:jc w:val="both"/>
    </w:pPr>
    <w:rPr>
      <w:bCs/>
      <w:caps/>
      <w:color w:val="auto"/>
      <w:sz w:val="28"/>
      <w:szCs w:val="28"/>
      <w:lang w:val="sq-AL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A956F8"/>
    <w:pPr>
      <w:tabs>
        <w:tab w:val="center" w:pos="1418"/>
        <w:tab w:val="center" w:pos="5954"/>
      </w:tabs>
      <w:spacing w:before="720" w:after="0" w:line="240" w:lineRule="auto"/>
    </w:pPr>
    <w:rPr>
      <w:sz w:val="24"/>
      <w:szCs w:val="24"/>
      <w:lang w:val="sq-AL"/>
    </w:rPr>
  </w:style>
  <w:style w:type="numbering" w:customStyle="1" w:styleId="ECHRA1StyleList">
    <w:name w:val="ECHR_A1_Style_List"/>
    <w:basedOn w:val="NoList"/>
    <w:uiPriority w:val="99"/>
    <w:rsid w:val="00A956F8"/>
    <w:pPr>
      <w:numPr>
        <w:numId w:val="1"/>
      </w:numPr>
    </w:p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A956F8"/>
    <w:pPr>
      <w:numPr>
        <w:ilvl w:val="1"/>
        <w:numId w:val="2"/>
      </w:numPr>
      <w:tabs>
        <w:tab w:val="num" w:pos="360"/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 w:line="240" w:lineRule="auto"/>
      <w:ind w:left="0" w:firstLine="0"/>
      <w:jc w:val="both"/>
    </w:pPr>
    <w:rPr>
      <w:bCs/>
      <w:caps/>
      <w:color w:val="auto"/>
      <w:sz w:val="24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A956F8"/>
    <w:pPr>
      <w:numPr>
        <w:ilvl w:val="2"/>
        <w:numId w:val="2"/>
      </w:numPr>
      <w:tabs>
        <w:tab w:val="num" w:pos="360"/>
      </w:tabs>
      <w:spacing w:before="100" w:beforeAutospacing="1" w:after="240" w:line="240" w:lineRule="auto"/>
      <w:ind w:left="0" w:firstLine="0"/>
      <w:jc w:val="both"/>
    </w:pPr>
    <w:rPr>
      <w:b/>
      <w:bCs/>
      <w:color w:val="auto"/>
      <w:szCs w:val="22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A956F8"/>
    <w:pPr>
      <w:numPr>
        <w:ilvl w:val="3"/>
        <w:numId w:val="2"/>
      </w:numPr>
      <w:tabs>
        <w:tab w:val="num" w:pos="360"/>
      </w:tabs>
      <w:spacing w:before="100" w:beforeAutospacing="1" w:after="120" w:line="240" w:lineRule="auto"/>
      <w:ind w:left="0" w:firstLine="0"/>
      <w:jc w:val="both"/>
    </w:pPr>
    <w:rPr>
      <w:bCs/>
      <w:color w:val="auto"/>
      <w:sz w:val="24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A956F8"/>
    <w:pPr>
      <w:numPr>
        <w:ilvl w:val="4"/>
        <w:numId w:val="2"/>
      </w:numPr>
      <w:tabs>
        <w:tab w:val="num" w:pos="360"/>
      </w:tabs>
      <w:spacing w:before="100" w:beforeAutospacing="1" w:after="120" w:line="240" w:lineRule="auto"/>
      <w:ind w:left="0" w:firstLine="0"/>
      <w:jc w:val="both"/>
    </w:pPr>
    <w:rPr>
      <w:b/>
      <w:bCs/>
      <w:color w:val="auto"/>
      <w:sz w:val="20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A956F8"/>
    <w:pPr>
      <w:numPr>
        <w:ilvl w:val="5"/>
        <w:numId w:val="2"/>
      </w:numPr>
      <w:tabs>
        <w:tab w:val="num" w:pos="360"/>
        <w:tab w:val="left" w:pos="1077"/>
        <w:tab w:val="left" w:pos="1134"/>
        <w:tab w:val="left" w:pos="1191"/>
        <w:tab w:val="left" w:pos="1247"/>
      </w:tabs>
      <w:spacing w:before="100" w:beforeAutospacing="1" w:after="120" w:line="271" w:lineRule="auto"/>
      <w:ind w:left="0" w:firstLine="0"/>
      <w:jc w:val="both"/>
    </w:pPr>
    <w:rPr>
      <w:bCs/>
      <w:i/>
      <w:iCs/>
      <w:color w:val="auto"/>
      <w:sz w:val="20"/>
      <w:lang w:val="sq-AL" w:bidi="en-US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A956F8"/>
    <w:pPr>
      <w:numPr>
        <w:ilvl w:val="6"/>
        <w:numId w:val="2"/>
      </w:numPr>
      <w:tabs>
        <w:tab w:val="num" w:pos="360"/>
        <w:tab w:val="left" w:pos="1361"/>
      </w:tabs>
      <w:spacing w:before="100" w:beforeAutospacing="1" w:after="120" w:line="240" w:lineRule="auto"/>
      <w:ind w:left="0" w:firstLine="0"/>
      <w:jc w:val="both"/>
    </w:pPr>
    <w:rPr>
      <w:i w:val="0"/>
      <w:color w:val="auto"/>
      <w:sz w:val="2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A956F8"/>
    <w:pPr>
      <w:numPr>
        <w:ilvl w:val="7"/>
        <w:numId w:val="2"/>
      </w:numPr>
      <w:tabs>
        <w:tab w:val="num" w:pos="360"/>
      </w:tabs>
      <w:spacing w:before="100" w:beforeAutospacing="1" w:after="120" w:line="240" w:lineRule="auto"/>
      <w:ind w:left="0" w:firstLine="0"/>
      <w:jc w:val="both"/>
    </w:pPr>
    <w:rPr>
      <w:i/>
      <w:color w:val="auto"/>
      <w:sz w:val="20"/>
      <w:szCs w:val="20"/>
      <w:lang w:val="sq-AL" w:bidi="en-US"/>
    </w:rPr>
  </w:style>
  <w:style w:type="paragraph" w:customStyle="1" w:styleId="JuParaLast">
    <w:name w:val="Ju_Para_Last"/>
    <w:aliases w:val="_Para_Spaced"/>
    <w:basedOn w:val="Normal"/>
    <w:uiPriority w:val="5"/>
    <w:qFormat/>
    <w:rsid w:val="00A956F8"/>
    <w:pPr>
      <w:keepNext/>
      <w:keepLines/>
      <w:spacing w:before="240" w:after="24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JuJudges">
    <w:name w:val="Ju_Judges"/>
    <w:aliases w:val="_Judges"/>
    <w:basedOn w:val="Normal"/>
    <w:uiPriority w:val="32"/>
    <w:qFormat/>
    <w:rsid w:val="00A956F8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8"/>
    <w:semiHidden/>
    <w:rsid w:val="00A956F8"/>
    <w:pPr>
      <w:tabs>
        <w:tab w:val="center" w:pos="3686"/>
        <w:tab w:val="right" w:pos="7371"/>
      </w:tabs>
      <w:spacing w:after="0" w:line="240" w:lineRule="auto"/>
    </w:pPr>
    <w:rPr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A956F8"/>
    <w:rPr>
      <w:sz w:val="24"/>
      <w:szCs w:val="24"/>
      <w:lang w:val="sq-AL"/>
    </w:rPr>
  </w:style>
  <w:style w:type="paragraph" w:customStyle="1" w:styleId="JuPara">
    <w:name w:val="Ju_Para"/>
    <w:aliases w:val="_Para"/>
    <w:basedOn w:val="Normal"/>
    <w:link w:val="JuParaChar"/>
    <w:uiPriority w:val="4"/>
    <w:qFormat/>
    <w:rsid w:val="00A956F8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JuCase">
    <w:name w:val="Ju_Case"/>
    <w:aliases w:val="_Case_Name"/>
    <w:basedOn w:val="Normal"/>
    <w:next w:val="JuPara"/>
    <w:uiPriority w:val="32"/>
    <w:rsid w:val="00A956F8"/>
    <w:pPr>
      <w:spacing w:after="0" w:line="240" w:lineRule="auto"/>
      <w:ind w:firstLine="284"/>
      <w:jc w:val="both"/>
    </w:pPr>
    <w:rPr>
      <w:b/>
      <w:sz w:val="24"/>
      <w:szCs w:val="24"/>
      <w:lang w:val="sq-AL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A956F8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A956F8"/>
    <w:pPr>
      <w:keepNext/>
      <w:keepLines/>
      <w:spacing w:before="1320" w:after="280" w:line="240" w:lineRule="auto"/>
      <w:contextualSpacing/>
      <w:jc w:val="center"/>
    </w:pPr>
    <w:rPr>
      <w:b/>
      <w:sz w:val="24"/>
      <w:szCs w:val="24"/>
      <w:lang w:val="sq-AL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A956F8"/>
    <w:pPr>
      <w:numPr>
        <w:ilvl w:val="8"/>
        <w:numId w:val="2"/>
      </w:numPr>
      <w:tabs>
        <w:tab w:val="num" w:pos="360"/>
      </w:tabs>
      <w:spacing w:before="100" w:beforeAutospacing="1" w:line="240" w:lineRule="auto"/>
      <w:ind w:left="0" w:firstLine="0"/>
      <w:contextualSpacing/>
      <w:jc w:val="both"/>
    </w:pPr>
    <w:rPr>
      <w:i w:val="0"/>
      <w:color w:val="auto"/>
      <w:spacing w:val="5"/>
      <w:sz w:val="18"/>
      <w:szCs w:val="20"/>
      <w:lang w:val="sq-AL" w:bidi="en-US"/>
    </w:rPr>
  </w:style>
  <w:style w:type="character" w:customStyle="1" w:styleId="JuParaChar">
    <w:name w:val="Ju_Para Char"/>
    <w:aliases w:val="_Para Char"/>
    <w:link w:val="JuPara"/>
    <w:uiPriority w:val="4"/>
    <w:rsid w:val="00A956F8"/>
    <w:rPr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95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6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F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9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F8"/>
  </w:style>
  <w:style w:type="paragraph" w:customStyle="1" w:styleId="tekstiii">
    <w:name w:val="tekstiii"/>
    <w:basedOn w:val="JuPara"/>
    <w:qFormat/>
    <w:rsid w:val="00B456DC"/>
    <w:rPr>
      <w:rFonts w:ascii="Garamond" w:hAnsi="Garamond"/>
    </w:rPr>
  </w:style>
  <w:style w:type="table" w:styleId="TableGrid">
    <w:name w:val="Table Grid"/>
    <w:basedOn w:val="TableNormal"/>
    <w:uiPriority w:val="39"/>
    <w:rsid w:val="0034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36645258F9D4249B26DED1B6AA3F66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22493-12</Nr_x002e__x0020_akti>
    <Data_x0020_e_x0020_Krijimit xmlns="0e656187-b300-4fb0-8bf4-3a50f872073c">2024-03-27T15:16:34Z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2024-03-27T00:00:00Z</Date_x0020_protokolli>
    <Titulli xmlns="0e656187-b300-4fb0-8bf4-3a50f872073c">Çështja Kokalari kundër Shqipërisë</Titulli>
    <Modifikuesi xmlns="0e656187-b300-4fb0-8bf4-3a50f872073c">jorina.kryeziu</Modifikuesi>
    <Nr_x002e__x0020_prot_x0020_QBZ xmlns="0e656187-b300-4fb0-8bf4-3a50f872073c">557/1</Nr_x002e__x0020_prot_x0020_QBZ>
    <Data_x0020_e_x0020_Modifikimit xmlns="0e656187-b300-4fb0-8bf4-3a50f872073c">2024-03-28T14:51:11Z</Data_x0020_e_x0020_Modifikimit>
    <Dekretuar xmlns="0e656187-b300-4fb0-8bf4-3a50f872073c">false</Dekretuar>
    <Data xmlns="0e656187-b300-4fb0-8bf4-3a50f872073c">2024-01-30T00:00:00Z</Data>
    <Nr_x002e__x0020_protokolli_x0020_i_x0020_aktit xmlns="0e656187-b300-4fb0-8bf4-3a50f872073c">869/1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36645258F9D4249B26DED1B6AA3F66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61BC4-2BE5-4C51-8C4C-91BEA60A2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A4EBC-3CA6-4821-97ED-C623EF0B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AB1826-9CA5-470D-9DE0-5D0E714C9ACD}">
  <ds:schemaRefs>
    <ds:schemaRef ds:uri="http://schemas.microsoft.com/office/2006/metadata/properties"/>
    <ds:schemaRef ds:uri="0e656187-b300-4fb0-8bf4-3a50f872073c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BDB5EF-DEA5-441E-890D-4639FAC59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20DB2A7-3E86-4E99-A483-CF03A9677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Kokalari kundër Shqipërisë</vt:lpstr>
    </vt:vector>
  </TitlesOfParts>
  <Company/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Kokalari kundër Shqipërisë</dc:title>
  <dc:creator>Entela Suli</dc:creator>
  <cp:lastModifiedBy>Entela Suli</cp:lastModifiedBy>
  <cp:revision>58</cp:revision>
  <dcterms:created xsi:type="dcterms:W3CDTF">2024-03-27T14:09:00Z</dcterms:created>
  <dcterms:modified xsi:type="dcterms:W3CDTF">2024-03-29T09:28:00Z</dcterms:modified>
</cp:coreProperties>
</file>